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4930"/>
            <w:bookmarkStart w:id="2" w:name="_Toc62039378"/>
            <w:bookmarkStart w:id="3" w:name="_Toc57025163"/>
            <w:bookmarkStart w:id="4" w:name="_Toc56765514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2813"/>
            <w:bookmarkStart w:id="7" w:name="_Toc57025164"/>
            <w:bookmarkStart w:id="8" w:name="_Toc56765515"/>
            <w:bookmarkStart w:id="9" w:name="_Toc57024931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Мехатроника и робототехника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i w:val="0"/>
                <w:iCs/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i w:val="0"/>
          <w:iCs/>
          <w:sz w:val="24"/>
          <w:szCs w:val="24"/>
          <w:lang w:val="ru-RU"/>
        </w:rPr>
        <w:t>Экология</w:t>
      </w:r>
      <w:r>
        <w:rPr>
          <w:rFonts w:hint="default"/>
          <w:i w:val="0"/>
          <w:iCs/>
          <w:sz w:val="24"/>
          <w:szCs w:val="24"/>
          <w:lang w:val="ru-RU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пятом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Зачет</w:t>
      </w:r>
      <w:r>
        <w:rPr>
          <w:rFonts w:hint="default"/>
          <w:bCs/>
          <w:sz w:val="24"/>
          <w:szCs w:val="24"/>
          <w:lang w:val="ru-RU"/>
        </w:rPr>
        <w:t xml:space="preserve"> с оценкой.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/>
          <w:sz w:val="24"/>
          <w:szCs w:val="24"/>
          <w:lang w:val="ru-RU"/>
        </w:rPr>
        <w:t>«Экология»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hint="default" w:eastAsia="Times New Roman"/>
          <w:sz w:val="24"/>
          <w:szCs w:val="24"/>
          <w:lang w:val="ru-RU"/>
        </w:rPr>
        <w:t xml:space="preserve">«Экология»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</w:t>
      </w:r>
      <w:r>
        <w:rPr>
          <w:rFonts w:eastAsia="Times New Roman"/>
          <w:sz w:val="24"/>
          <w:szCs w:val="24"/>
          <w:lang w:val="ru-RU"/>
        </w:rPr>
        <w:t>н</w:t>
      </w:r>
      <w:r>
        <w:rPr>
          <w:rFonts w:eastAsia="Times New Roman"/>
          <w:sz w:val="24"/>
          <w:szCs w:val="24"/>
        </w:rPr>
        <w:t>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 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color w:val="auto"/>
          <w:sz w:val="24"/>
          <w:szCs w:val="24"/>
          <w:lang w:val="ru-RU"/>
        </w:rPr>
        <w:t>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eastAsiaTheme="minorHAnsi"/>
                <w:i w:val="0"/>
                <w:iCs/>
                <w:color w:val="000000"/>
                <w:lang w:val="ru-RU" w:eastAsia="en-US"/>
              </w:rPr>
              <w:t>ОПК</w:t>
            </w: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-3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</w:pPr>
            <w:r>
              <w:rPr>
                <w:rStyle w:val="152"/>
                <w:rFonts w:eastAsiaTheme="minorHAnsi"/>
                <w:i w:val="0"/>
                <w:iCs/>
                <w:sz w:val="22"/>
                <w:szCs w:val="22"/>
                <w:lang w:val="ru-RU" w:eastAsia="en-US"/>
              </w:rPr>
              <w:t>ИД</w:t>
            </w:r>
            <w:r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  <w:t>-ОПК-3.2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hint="default"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  <w:t>Выбор средств автоматизации для проектируемых технологических процессов с учетом экологических и других ограничений на всех этапах жизненного уровня.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ОПК-7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ИД-ОПК-7.1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Применение современных экологичных и безопасных методов использования сырьевых и энергетических ресурсов в машиностроении.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ОПК-10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контролировать и обеспечивать производственную и экологическую безопасность на рабочих местах.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ИД-ОПК-10.1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Применение соответствующих правовых норм для обеспечения производственной и экологической безопасности.</w:t>
            </w: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AFC4376"/>
    <w:rsid w:val="33E05DEC"/>
    <w:rsid w:val="37295495"/>
    <w:rsid w:val="3B164DFB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2022-04-03T16:09:14Z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3B79A18D4C4944A1961D35E1830961D2</vt:lpwstr>
  </property>
</Properties>
</file>