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bookmarkStart w:id="11" w:name="_GoBack"/>
            <w:r>
              <w:rPr>
                <w:b/>
                <w:sz w:val="26"/>
                <w:szCs w:val="26"/>
              </w:rPr>
              <w:t xml:space="preserve">Социально-профессиональная адаптация лиц с ограниченными 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возможностями здоровья</w:t>
            </w:r>
            <w:bookmarkEnd w:id="1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7025163"/>
            <w:bookmarkStart w:id="2" w:name="_Toc56765514"/>
            <w:bookmarkStart w:id="3" w:name="_Toc57024930"/>
            <w:bookmarkStart w:id="4" w:name="_Toc57022812"/>
            <w:bookmarkStart w:id="5" w:name="_Toc62039378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7025164"/>
            <w:bookmarkStart w:id="7" w:name="_Toc57024931"/>
            <w:bookmarkStart w:id="8" w:name="_Toc62039379"/>
            <w:bookmarkStart w:id="9" w:name="_Toc57022813"/>
            <w:bookmarkStart w:id="10" w:name="_Toc56765515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"http://ivo.garant.ru/document/redirect/70480868/420301" </w:instrText>
            </w:r>
            <w:r>
              <w:fldChar w:fldCharType="separate"/>
            </w:r>
            <w:r>
              <w:t>39</w:t>
            </w:r>
            <w:r>
              <w:rPr>
                <w:sz w:val="24"/>
                <w:szCs w:val="24"/>
              </w:rPr>
              <w:t>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</w:rPr>
              <w:t xml:space="preserve">оциология </w:t>
            </w:r>
            <w:r>
              <w:rPr>
                <w:sz w:val="24"/>
                <w:szCs w:val="24"/>
                <w:lang w:val="ru-RU"/>
              </w:rPr>
              <w:t>моды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и искусства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«Социально-профессиональная адаптация лиц с ограниченными 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возможностями здоровья» изучается в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шестом</w:t>
      </w:r>
      <w:r>
        <w:rPr>
          <w:sz w:val="24"/>
          <w:szCs w:val="24"/>
        </w:rPr>
        <w:t xml:space="preserve"> семестр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  <w:lang w:val="ru-RU"/>
        </w:rPr>
        <w:t>Зачет</w:t>
      </w:r>
    </w:p>
    <w:p>
      <w:pPr>
        <w:pStyle w:val="62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p>
      <w:pPr>
        <w:pStyle w:val="3"/>
      </w:pPr>
      <w:r>
        <w:t>Место учебной дисциплины в структуре ОПОП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>
      <w:pPr>
        <w:pStyle w:val="3"/>
        <w:rPr>
          <w:i/>
        </w:rPr>
      </w:pPr>
      <w:r>
        <w:t>Цели и планируемые результаты обучения по дисциплине</w:t>
      </w:r>
    </w:p>
    <w:p>
      <w:pPr>
        <w:pStyle w:val="62"/>
        <w:numPr>
          <w:ilvl w:val="3"/>
          <w:numId w:val="5"/>
        </w:numPr>
        <w:jc w:val="both"/>
        <w:rPr>
          <w:i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Целями изучения </w:t>
      </w:r>
      <w:r>
        <w:rPr>
          <w:rFonts w:eastAsia="Times New Roman"/>
          <w:iCs/>
          <w:color w:val="auto"/>
          <w:sz w:val="24"/>
          <w:szCs w:val="24"/>
        </w:rPr>
        <w:t xml:space="preserve">дисциплины </w:t>
      </w:r>
      <w:r>
        <w:rPr>
          <w:rFonts w:eastAsia="Times New Roman"/>
          <w:color w:val="auto"/>
          <w:sz w:val="24"/>
          <w:szCs w:val="24"/>
        </w:rPr>
        <w:t>«Социально-профессиональная адаптация лиц с ограниченными возможностями здоровья» являются:</w:t>
      </w:r>
    </w:p>
    <w:p>
      <w:pPr>
        <w:pStyle w:val="62"/>
        <w:numPr>
          <w:ilvl w:val="2"/>
          <w:numId w:val="5"/>
        </w:numPr>
        <w:jc w:val="both"/>
        <w:rPr>
          <w:iCs/>
          <w:color w:val="auto"/>
          <w:sz w:val="24"/>
          <w:szCs w:val="24"/>
        </w:rPr>
      </w:pPr>
      <w:r>
        <w:rPr>
          <w:rFonts w:eastAsia="Times New Roman"/>
          <w:iCs/>
          <w:color w:val="auto"/>
          <w:sz w:val="24"/>
          <w:szCs w:val="24"/>
        </w:rPr>
        <w:t>изучение специфики социального взаимодействия и обучения людей с ограниченными возможностями здоровья;</w:t>
      </w:r>
    </w:p>
    <w:p>
      <w:pPr>
        <w:pStyle w:val="62"/>
        <w:numPr>
          <w:ilvl w:val="2"/>
          <w:numId w:val="5"/>
        </w:numPr>
        <w:jc w:val="both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формирование адаптационных ресурсов и навыков содействия их социальной адаптации;</w:t>
      </w:r>
    </w:p>
    <w:p>
      <w:pPr>
        <w:pStyle w:val="62"/>
        <w:numPr>
          <w:ilvl w:val="2"/>
          <w:numId w:val="5"/>
        </w:numPr>
        <w:jc w:val="both"/>
        <w:rPr>
          <w:iCs/>
          <w:color w:val="auto"/>
          <w:sz w:val="24"/>
          <w:szCs w:val="24"/>
        </w:rPr>
      </w:pPr>
      <w:r>
        <w:rPr>
          <w:rFonts w:eastAsia="Times New Roman"/>
          <w:iCs/>
          <w:color w:val="auto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>
      <w:pPr>
        <w:pStyle w:val="62"/>
        <w:numPr>
          <w:ilvl w:val="3"/>
          <w:numId w:val="5"/>
        </w:numPr>
        <w:jc w:val="both"/>
        <w:rPr>
          <w:i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</w:t>
      </w:r>
      <w:r>
        <w:rPr>
          <w:iCs/>
          <w:color w:val="auto"/>
          <w:sz w:val="24"/>
          <w:szCs w:val="24"/>
        </w:rPr>
        <w:t>учебной дисциплине</w:t>
      </w:r>
      <w:r>
        <w:rPr>
          <w:color w:val="auto"/>
          <w:sz w:val="24"/>
          <w:szCs w:val="24"/>
        </w:rPr>
        <w:t xml:space="preserve"> является овладение обучающимися </w:t>
      </w:r>
      <w:r>
        <w:rPr>
          <w:rFonts w:eastAsia="Times New Roman"/>
          <w:color w:val="auto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Cs/>
          <w:color w:val="auto"/>
          <w:sz w:val="24"/>
          <w:szCs w:val="24"/>
        </w:rPr>
        <w:t>дисциплины</w:t>
      </w:r>
    </w:p>
    <w:p>
      <w:pPr>
        <w:pStyle w:val="3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p>
      <w:pPr>
        <w:pStyle w:val="3"/>
        <w:keepNext w:val="0"/>
        <w:numPr>
          <w:ilvl w:val="1"/>
          <w:numId w:val="0"/>
        </w:numPr>
      </w:pPr>
      <w:r>
        <w:rPr>
          <w:rStyle w:val="45"/>
          <w:rFonts w:eastAsiaTheme="minorHAnsi"/>
          <w:bCs w:val="0"/>
          <w:iCs w:val="0"/>
        </w:rPr>
        <w:t>Универсальные</w:t>
      </w:r>
      <w:r>
        <w:rPr>
          <w:rStyle w:val="45"/>
          <w:rFonts w:hint="default" w:eastAsiaTheme="minorHAnsi"/>
          <w:bCs w:val="0"/>
          <w:iCs w:val="0"/>
          <w:lang w:val="en-US"/>
        </w:rPr>
        <w:t xml:space="preserve"> </w:t>
      </w:r>
      <w:r>
        <w:rPr>
          <w:rStyle w:val="45"/>
          <w:rFonts w:eastAsiaTheme="minorHAnsi"/>
          <w:bCs w:val="0"/>
          <w:iCs w:val="0"/>
        </w:rPr>
        <w:t>компетенции выпускников и индикаторы их достижения</w:t>
      </w:r>
    </w:p>
    <w:p/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shd w:val="clear" w:color="auto" w:fill="auto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>
            <w:pPr>
              <w:pStyle w:val="62"/>
              <w:numPr>
                <w:ilvl w:val="0"/>
                <w:numId w:val="0"/>
              </w:numPr>
              <w:ind w:leftChars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ИД-УК-3.2 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>
            <w:pPr>
              <w:pStyle w:val="62"/>
              <w:numPr>
                <w:ilvl w:val="0"/>
                <w:numId w:val="0"/>
              </w:numPr>
              <w:ind w:leftChars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ИД-УК-3.2Анализ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>
            <w:pPr>
              <w:pStyle w:val="62"/>
              <w:numPr>
                <w:ilvl w:val="0"/>
                <w:numId w:val="0"/>
              </w:numPr>
              <w:ind w:leftChars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ИД-УК-3.4 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>
            <w:pPr>
              <w:pStyle w:val="62"/>
              <w:numPr>
                <w:ilvl w:val="0"/>
                <w:numId w:val="0"/>
              </w:numPr>
              <w:ind w:leftChars="0"/>
              <w:rPr>
                <w:rFonts w:eastAsia="Times New Roman"/>
                <w:i/>
              </w:rPr>
            </w:pPr>
            <w:r>
              <w:rPr>
                <w:rFonts w:hint="default"/>
                <w:color w:val="000000"/>
              </w:rPr>
              <w:t>ИД-УК-3.</w:t>
            </w:r>
            <w:r>
              <w:rPr>
                <w:rFonts w:hint="default"/>
                <w:color w:val="000000"/>
                <w:lang w:val="ru-RU"/>
              </w:rPr>
              <w:t xml:space="preserve">5 </w:t>
            </w:r>
            <w:r>
              <w:rPr>
                <w:rFonts w:hint="default"/>
                <w:color w:val="000000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</w:tbl>
    <w:p>
      <w:pPr>
        <w:pStyle w:val="3"/>
        <w:keepNext w:val="0"/>
        <w:numPr>
          <w:ilvl w:val="1"/>
          <w:numId w:val="0"/>
        </w:numPr>
      </w:pPr>
      <w:r>
        <w:rPr>
          <w:rStyle w:val="45"/>
          <w:rFonts w:eastAsiaTheme="minorHAnsi"/>
          <w:bCs w:val="0"/>
          <w:iCs w:val="0"/>
        </w:rPr>
        <w:t>Профессиональные компетенции выпускников и индикаторы их достижения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профессиональной компетенции</w:t>
            </w:r>
          </w:p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(ИД-ПК)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781" w:type="dxa"/>
            <w:gridSpan w:val="3"/>
          </w:tcPr>
          <w:p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маркетинговый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top"/>
              <w:rPr>
                <w:rFonts w:eastAsia="Calibri"/>
                <w:i/>
              </w:rPr>
            </w:pPr>
            <w:r>
              <w:rPr>
                <w:rStyle w:val="155"/>
                <w:rFonts w:eastAsia="SimSun"/>
                <w:sz w:val="24"/>
                <w:szCs w:val="24"/>
                <w:lang w:val="en-US" w:eastAsia="zh-CN" w:bidi="ar"/>
              </w:rPr>
              <w:t>Организационно-методическое</w:t>
            </w:r>
            <w:r>
              <w:rPr>
                <w:rStyle w:val="155"/>
                <w:rFonts w:eastAsia="SimSu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55"/>
                <w:rFonts w:eastAsia="SimSun"/>
                <w:sz w:val="24"/>
                <w:szCs w:val="24"/>
                <w:lang w:val="en-US" w:eastAsia="zh-CN" w:bidi="ar"/>
              </w:rPr>
              <w:t>обеспечение реализации</w:t>
            </w:r>
            <w:r>
              <w:rPr>
                <w:rStyle w:val="155"/>
                <w:rFonts w:eastAsia="SimSu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55"/>
                <w:rFonts w:eastAsia="SimSun"/>
                <w:sz w:val="24"/>
                <w:szCs w:val="24"/>
                <w:lang w:val="en-US" w:eastAsia="zh-CN" w:bidi="ar"/>
              </w:rPr>
              <w:t>дополнительных</w:t>
            </w:r>
            <w:r>
              <w:rPr>
                <w:rStyle w:val="155"/>
                <w:rFonts w:eastAsia="SimSu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55"/>
                <w:rFonts w:eastAsia="SimSun"/>
                <w:sz w:val="24"/>
                <w:szCs w:val="24"/>
                <w:lang w:val="en-US" w:eastAsia="zh-CN" w:bidi="ar"/>
              </w:rPr>
              <w:t xml:space="preserve">общеобразовательных программ                                            </w:t>
            </w:r>
            <w:r>
              <w:rPr>
                <w:rStyle w:val="156"/>
                <w:rFonts w:eastAsia="SimSun"/>
                <w:sz w:val="24"/>
                <w:szCs w:val="24"/>
                <w:lang w:val="en-US" w:eastAsia="zh-CN" w:bidi="ar"/>
              </w:rPr>
              <w:t>Профессиональная компетенция на основе</w:t>
            </w:r>
            <w:r>
              <w:rPr>
                <w:rStyle w:val="156"/>
                <w:rFonts w:eastAsia="SimSu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56"/>
                <w:rFonts w:eastAsia="SimSun"/>
                <w:sz w:val="24"/>
                <w:szCs w:val="24"/>
                <w:lang w:val="en-US" w:eastAsia="zh-CN" w:bidi="ar"/>
              </w:rPr>
              <w:t>ПС 01.003  ПЕДАГОГ ДОПОЛНИТЕЛЬНОГО ОБРАЗОВАНИЯ ДЕТЕЙ И ВЗРОСЛЫХ Код В/01.6 Уровень</w:t>
            </w:r>
            <w:r>
              <w:rPr>
                <w:rStyle w:val="156"/>
                <w:rFonts w:eastAsia="SimSu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56"/>
                <w:rFonts w:eastAsia="SimSun"/>
                <w:sz w:val="24"/>
                <w:szCs w:val="24"/>
                <w:lang w:val="en-US" w:eastAsia="zh-CN" w:bidi="ar"/>
              </w:rPr>
              <w:t>(подуровень)</w:t>
            </w:r>
            <w:r>
              <w:rPr>
                <w:rStyle w:val="156"/>
                <w:rFonts w:eastAsia="SimSu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56"/>
                <w:rFonts w:eastAsia="SimSun"/>
                <w:sz w:val="24"/>
                <w:szCs w:val="24"/>
                <w:lang w:val="en-US" w:eastAsia="zh-CN" w:bidi="ar"/>
              </w:rPr>
              <w:t>квалификации 6.3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ПК-6. Способен организовывать мониторинг рынка услуг дополнительного образования детей и взрослых, в том числе в сфере моды и искусства</w:t>
            </w:r>
          </w:p>
        </w:tc>
        <w:tc>
          <w:tcPr>
            <w:tcW w:w="4394" w:type="dxa"/>
            <w:vAlign w:val="top"/>
          </w:tcPr>
          <w:p>
            <w:pPr>
              <w:pStyle w:val="151"/>
              <w:numPr>
                <w:ilvl w:val="0"/>
                <w:numId w:val="0"/>
              </w:numPr>
              <w:spacing w:before="0" w:beforeAutospacing="0" w:after="0" w:afterAutospacing="0"/>
              <w:ind w:leftChars="0"/>
              <w:rPr>
                <w:color w:val="000000"/>
              </w:rPr>
            </w:pPr>
            <w:r>
              <w:rPr>
                <w:rFonts w:hint="default"/>
                <w:color w:val="000000"/>
              </w:rPr>
              <w:t>ИД-ПК-6.3 Формирование предложений по определению перечня и  содержания дополнительных образовательных программ, условий их реализации, продвижению услуг дополнительного образования на основе мониторинга  рынка услуг дополнительного образования детей и взрослых;</w:t>
            </w:r>
          </w:p>
        </w:tc>
      </w:tr>
    </w:tbl>
    <w:p>
      <w:pPr>
        <w:ind w:firstLine="709"/>
        <w:jc w:val="both"/>
        <w:rPr>
          <w:sz w:val="24"/>
          <w:szCs w:val="24"/>
        </w:rPr>
      </w:pPr>
    </w:p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72</w:t>
            </w:r>
          </w:p>
        </w:tc>
        <w:tc>
          <w:tcPr>
            <w:tcW w:w="937" w:type="dxa"/>
            <w:vAlign w:val="center"/>
          </w:tcPr>
          <w:p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40B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45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03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C1D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996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C36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  <w:rsid w:val="21813631"/>
    <w:rsid w:val="2CD47785"/>
    <w:rsid w:val="414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Заголовок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5">
    <w:name w:val="font11"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6">
    <w:name w:val="font21"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02BF-BE85-44EA-879E-BDA315B6BC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351</Words>
  <Characters>2002</Characters>
  <Lines>16</Lines>
  <Paragraphs>4</Paragraphs>
  <TotalTime>1</TotalTime>
  <ScaleCrop>false</ScaleCrop>
  <LinksUpToDate>false</LinksUpToDate>
  <CharactersWithSpaces>2349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2022-03-22T16:36:00Z</dcterms:created>
  <dc:creator>311_1</dc:creator>
  <cp:lastModifiedBy>Оксана Юрьевна Мишина</cp:lastModifiedBy>
  <cp:lastPrinted>2021-05-14T12:22:00Z</cp:lastPrinted>
  <dcterms:modified xsi:type="dcterms:W3CDTF">2022-04-10T13:56:09Z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A391BE71A1C14F5A8519C5FA85417359</vt:lpwstr>
  </property>
</Properties>
</file>