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Методология и методы социологического исследования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_Toc57022812"/>
            <w:bookmarkStart w:id="2" w:name="_Toc62039378"/>
            <w:bookmarkStart w:id="3" w:name="_Toc57024930"/>
            <w:bookmarkStart w:id="4" w:name="_Toc57025163"/>
            <w:bookmarkStart w:id="5" w:name="_Toc56765514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5164"/>
            <w:bookmarkStart w:id="9" w:name="_Toc57024931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"http://ivo.garant.ru/document/redirect/70480868/420301" </w:instrText>
            </w:r>
            <w:r>
              <w:fldChar w:fldCharType="separate"/>
            </w:r>
            <w:r>
              <w:t>39</w:t>
            </w:r>
            <w:r>
              <w:rPr>
                <w:sz w:val="24"/>
                <w:szCs w:val="24"/>
              </w:rPr>
              <w:t>.03.01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Цифровая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</w:rPr>
              <w:t xml:space="preserve">оциология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освоения образовательной программы по </w:t>
            </w: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 года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11 месяцев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</w:rPr>
              <w:t>очная</w:t>
            </w:r>
          </w:p>
        </w:tc>
      </w:tr>
    </w:tbl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«Методология и методы социологического исследования» </w:t>
      </w:r>
      <w:bookmarkStart w:id="11" w:name="_GoBack"/>
      <w:r>
        <w:rPr>
          <w:sz w:val="24"/>
          <w:szCs w:val="24"/>
        </w:rPr>
        <w:t xml:space="preserve">изучается </w:t>
      </w:r>
      <w:r>
        <w:rPr>
          <w:sz w:val="24"/>
          <w:szCs w:val="24"/>
          <w:lang w:val="ru-RU"/>
        </w:rPr>
        <w:t>третьем</w:t>
      </w:r>
      <w:r>
        <w:rPr>
          <w:rFonts w:hint="default"/>
          <w:sz w:val="24"/>
          <w:szCs w:val="24"/>
          <w:lang w:val="ru-RU"/>
        </w:rPr>
        <w:t xml:space="preserve"> и четвертом курсах</w:t>
      </w:r>
      <w:bookmarkEnd w:id="11"/>
      <w:r>
        <w:rPr>
          <w:sz w:val="24"/>
          <w:szCs w:val="24"/>
        </w:rPr>
        <w:t>.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– не предусмотрена.</w:t>
      </w:r>
    </w:p>
    <w:p>
      <w:pPr>
        <w:pStyle w:val="3"/>
        <w:rPr>
          <w:i/>
        </w:rPr>
      </w:pPr>
      <w:r>
        <w:t>Форма промежуточной аттестации</w:t>
      </w:r>
    </w:p>
    <w:p>
      <w:pPr>
        <w:pStyle w:val="62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>
      <w:pPr>
        <w:pStyle w:val="3"/>
      </w:pPr>
      <w:r>
        <w:t>Место учебной дисциплины в структуре ОПОП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относится к части, формируемой участниками образовательных отношений.</w:t>
      </w:r>
    </w:p>
    <w:p>
      <w:pPr>
        <w:pStyle w:val="3"/>
        <w:rPr>
          <w:i/>
        </w:rPr>
      </w:pPr>
      <w:r>
        <w:t>Цели и планируемые результаты обучения по дисциплине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Целями освоения дисциплины «</w:t>
      </w:r>
      <w:r>
        <w:rPr>
          <w:sz w:val="24"/>
          <w:szCs w:val="24"/>
          <w:lang w:val="ru-RU"/>
        </w:rPr>
        <w:t>Методология и методы социологического исследования</w:t>
      </w:r>
      <w:r>
        <w:rPr>
          <w:sz w:val="24"/>
          <w:szCs w:val="24"/>
        </w:rPr>
        <w:t>» являются: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у студентов методологической и научной культуры, системы знаний, умений и навыков в области организации и проведения социологических исследований</w:t>
      </w:r>
      <w:r>
        <w:rPr>
          <w:sz w:val="24"/>
          <w:szCs w:val="24"/>
          <w:lang w:val="ru-RU"/>
        </w:rPr>
        <w:t>;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 xml:space="preserve">своение </w:t>
      </w:r>
      <w:r>
        <w:rPr>
          <w:sz w:val="24"/>
          <w:szCs w:val="24"/>
          <w:lang w:val="ru-RU"/>
        </w:rPr>
        <w:t xml:space="preserve">студентами </w:t>
      </w:r>
      <w:r>
        <w:rPr>
          <w:sz w:val="24"/>
          <w:szCs w:val="24"/>
        </w:rPr>
        <w:t>базовых понятий и основных категорий научной методологии</w:t>
      </w:r>
      <w:r>
        <w:rPr>
          <w:sz w:val="24"/>
          <w:szCs w:val="24"/>
          <w:lang w:val="ru-RU"/>
        </w:rPr>
        <w:t>;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основные положения социологических теорий и при анализе социальных процессов;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>
      <w:pPr>
        <w:pStyle w:val="3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Style w:val="12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ОПК-2.Способен к социологическому анализу и научному объяснению социальных явлений и процессов на основе научных теорий, концепций, подходов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ИД-ОПК-2.1 Поиск, анализ и представление фактических данных, подготовка аналитической информации об исследуемых социальных группах, процессах и явлениях</w:t>
            </w:r>
          </w:p>
          <w:p>
            <w:pPr>
              <w:rPr>
                <w:color w:val="000000"/>
              </w:rPr>
            </w:pPr>
            <w:r>
              <w:rPr>
                <w:rFonts w:hint="default"/>
              </w:rPr>
              <w:t>ИД-ОПК-2.2 Описание социальных явлений и процессов на основе объективной безоценочной интерпретации эмпирических данных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ОПК-3. Способен принимать участие в социологическом исследовании на всех этапах его проведения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ИД-ОПК-3.1 Операционализация задач конкретного социологического исследования</w:t>
            </w:r>
          </w:p>
          <w:p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ИД-ОПК-3.2 Определение пути проверки гипотез и решения задач социологического исследования</w:t>
            </w:r>
          </w:p>
          <w:p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ИД-ОПК-3.3 Разработка программных и методических документов социологического исследования</w:t>
            </w:r>
          </w:p>
          <w:p>
            <w:pPr>
              <w:rPr>
                <w:rStyle w:val="152"/>
                <w:rFonts w:ascii="Times New Roman" w:hAnsi="Times New Roman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ИД-ОПК-3.4 Решение организационных и методических вопросов сбора информации в соответствии с поставленными задачами и методологией исследования; контроль сбора социологических данных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ОПК-3. Способен принимать участие в социологическом исследовании на всех этапах его проведения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ИД-ОПК-3.1 Операционализация задач конкретного социологического исследования</w:t>
            </w:r>
          </w:p>
          <w:p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ИД-ОПК-3.2 Определение пути проверки гипотез и решения задач социологического исследования</w:t>
            </w:r>
          </w:p>
          <w:p>
            <w:pPr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ИД-ОПК-3.3 Разработка программных и методических документов социологического исследования</w:t>
            </w:r>
          </w:p>
          <w:p>
            <w:pPr>
              <w:rPr>
                <w:rStyle w:val="152"/>
                <w:rFonts w:ascii="Times New Roman" w:hAnsi="Times New Roman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ИД-ОПК-3.4 Решение организационных и методических вопросов сбора информации в соответствии с поставленными задачами и методологией исследования; контроль сбора социологических данных</w:t>
            </w:r>
          </w:p>
        </w:tc>
      </w:tr>
    </w:tbl>
    <w:p>
      <w:pPr>
        <w:pStyle w:val="3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rPr>
          <w:b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</w:p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C28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2B9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056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4EB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2BD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76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57A"/>
    <w:rsid w:val="002915C6"/>
    <w:rsid w:val="00291E8B"/>
    <w:rsid w:val="00296AB1"/>
    <w:rsid w:val="002A115C"/>
    <w:rsid w:val="002A159D"/>
    <w:rsid w:val="002A2399"/>
    <w:rsid w:val="002A584B"/>
    <w:rsid w:val="002A6988"/>
    <w:rsid w:val="002A714B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2D29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1B06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77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9FF"/>
    <w:rsid w:val="00522B22"/>
    <w:rsid w:val="00523621"/>
    <w:rsid w:val="00523DB8"/>
    <w:rsid w:val="0052640B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F0C"/>
    <w:rsid w:val="00561171"/>
    <w:rsid w:val="0056180C"/>
    <w:rsid w:val="00563BAD"/>
    <w:rsid w:val="005651E1"/>
    <w:rsid w:val="00565D23"/>
    <w:rsid w:val="00566BD8"/>
    <w:rsid w:val="00566E12"/>
    <w:rsid w:val="00570AB9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A02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F2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5445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6F2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8E5"/>
    <w:rsid w:val="00922F69"/>
    <w:rsid w:val="00926699"/>
    <w:rsid w:val="00926FEB"/>
    <w:rsid w:val="00927CC7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D7386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1803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C1D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0996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C36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198A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68E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268D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26C"/>
    <w:rsid w:val="00FF058C"/>
    <w:rsid w:val="00FF102D"/>
    <w:rsid w:val="00FF360F"/>
    <w:rsid w:val="00FF3E9B"/>
    <w:rsid w:val="00FF472A"/>
    <w:rsid w:val="00FF500B"/>
    <w:rsid w:val="00FF602C"/>
    <w:rsid w:val="00FF7F88"/>
    <w:rsid w:val="21813631"/>
    <w:rsid w:val="3A98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qFormat="1"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iPriority w:val="0"/>
    <w:rPr>
      <w:vertAlign w:val="superscript"/>
    </w:rPr>
  </w:style>
  <w:style w:type="character" w:styleId="14">
    <w:name w:val="annotation reference"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7">
    <w:name w:val="page number"/>
    <w:uiPriority w:val="0"/>
  </w:style>
  <w:style w:type="character" w:styleId="18">
    <w:name w:val="line number"/>
    <w:basedOn w:val="11"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uiPriority w:val="0"/>
  </w:style>
  <w:style w:type="character" w:customStyle="1" w:styleId="67">
    <w:name w:val="Заголовок Знак"/>
    <w:basedOn w:val="11"/>
    <w:link w:val="37"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uiPriority w:val="0"/>
  </w:style>
  <w:style w:type="character" w:customStyle="1" w:styleId="99">
    <w:name w:val="s14"/>
    <w:basedOn w:val="11"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02BF-BE85-44EA-879E-BDA315B6BC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2002</Characters>
  <Lines>16</Lines>
  <Paragraphs>4</Paragraphs>
  <TotalTime>4</TotalTime>
  <ScaleCrop>false</ScaleCrop>
  <LinksUpToDate>false</LinksUpToDate>
  <CharactersWithSpaces>2349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2022-03-22T16:36:00Z</dcterms:created>
  <dc:creator>311_1</dc:creator>
  <cp:lastModifiedBy>Оксана Юрьевна Мишина</cp:lastModifiedBy>
  <cp:lastPrinted>2021-05-14T12:22:00Z</cp:lastPrinted>
  <dcterms:modified xsi:type="dcterms:W3CDTF">2022-04-09T18:01:30Z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FE47257BDD724CE9A1177636CB6491C5</vt:lpwstr>
  </property>
</Properties>
</file>