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B6713F" w:rsidRPr="00B6713F" w:rsidRDefault="00B6713F" w:rsidP="00B6713F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8"/>
          <w:szCs w:val="28"/>
        </w:rPr>
      </w:pPr>
      <w:r w:rsidRPr="00B6713F">
        <w:rPr>
          <w:b/>
          <w:bCs/>
          <w:sz w:val="28"/>
          <w:szCs w:val="28"/>
        </w:rPr>
        <w:t>ОПЕРАТИВНО-РОЗЫСКНАЯ ДЕЯТЕЛЬНОСТЬ</w:t>
      </w:r>
    </w:p>
    <w:p w:rsidR="00767913" w:rsidRDefault="00767913" w:rsidP="00767913">
      <w:pPr>
        <w:jc w:val="center"/>
        <w:rPr>
          <w:b/>
          <w:sz w:val="28"/>
          <w:szCs w:val="28"/>
        </w:rPr>
      </w:pPr>
    </w:p>
    <w:p w:rsidR="00767913" w:rsidRPr="009144AE" w:rsidRDefault="00767913" w:rsidP="00767913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40.03.01 Юриспруденция</w:t>
      </w:r>
    </w:p>
    <w:p w:rsidR="00767913" w:rsidRPr="00F469E0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rPr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7684"/>
      </w:tblGrid>
      <w:tr w:rsidR="00B6713F" w:rsidRPr="00B6713F" w:rsidTr="00BC4B25">
        <w:trPr>
          <w:jc w:val="center"/>
        </w:trPr>
        <w:tc>
          <w:tcPr>
            <w:tcW w:w="1661" w:type="dxa"/>
            <w:vAlign w:val="center"/>
          </w:tcPr>
          <w:p w:rsidR="00B6713F" w:rsidRPr="00B6713F" w:rsidRDefault="00B6713F" w:rsidP="00B6713F">
            <w:pPr>
              <w:spacing w:after="120"/>
              <w:ind w:firstLine="709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6713F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684" w:type="dxa"/>
            <w:vAlign w:val="center"/>
          </w:tcPr>
          <w:p w:rsidR="00B6713F" w:rsidRPr="00B6713F" w:rsidRDefault="00B6713F" w:rsidP="00B6713F">
            <w:pPr>
              <w:spacing w:after="12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x-none"/>
              </w:rPr>
            </w:pPr>
            <w:r w:rsidRPr="00B6713F">
              <w:rPr>
                <w:rFonts w:eastAsia="Calibri"/>
                <w:b/>
                <w:sz w:val="24"/>
                <w:szCs w:val="24"/>
                <w:lang w:eastAsia="x-none"/>
              </w:rPr>
              <w:t>Ф</w:t>
            </w:r>
            <w:proofErr w:type="spellStart"/>
            <w:r w:rsidRPr="00B6713F">
              <w:rPr>
                <w:rFonts w:eastAsia="Calibri"/>
                <w:b/>
                <w:sz w:val="24"/>
                <w:szCs w:val="24"/>
                <w:lang w:val="x-none" w:eastAsia="x-none"/>
              </w:rPr>
              <w:t>ормулировка</w:t>
            </w:r>
            <w:proofErr w:type="spellEnd"/>
            <w:r w:rsidRPr="00B6713F">
              <w:rPr>
                <w:rFonts w:eastAsia="Calibri"/>
                <w:b/>
                <w:sz w:val="24"/>
                <w:szCs w:val="24"/>
                <w:lang w:eastAsia="x-none"/>
              </w:rPr>
              <w:t xml:space="preserve"> </w:t>
            </w:r>
          </w:p>
          <w:p w:rsidR="00B6713F" w:rsidRPr="00B6713F" w:rsidRDefault="00B6713F" w:rsidP="00B6713F">
            <w:pPr>
              <w:spacing w:after="120"/>
              <w:contextualSpacing/>
              <w:jc w:val="center"/>
              <w:rPr>
                <w:b/>
                <w:sz w:val="24"/>
                <w:szCs w:val="24"/>
              </w:rPr>
            </w:pPr>
            <w:r w:rsidRPr="00B6713F">
              <w:rPr>
                <w:rFonts w:eastAsia="Calibri"/>
                <w:b/>
                <w:sz w:val="24"/>
                <w:szCs w:val="24"/>
                <w:lang w:eastAsia="en-US"/>
              </w:rPr>
              <w:t>компетенций в соответствии с ФГОС ВО</w:t>
            </w:r>
          </w:p>
        </w:tc>
      </w:tr>
      <w:tr w:rsidR="00BC4B25" w:rsidRPr="00BC4B25" w:rsidTr="00BC4B25">
        <w:trPr>
          <w:jc w:val="center"/>
        </w:trPr>
        <w:tc>
          <w:tcPr>
            <w:tcW w:w="1661" w:type="dxa"/>
            <w:vAlign w:val="center"/>
          </w:tcPr>
          <w:p w:rsidR="00BC4B25" w:rsidRPr="00BC4B25" w:rsidRDefault="00BC4B25" w:rsidP="00BC4B25">
            <w:pPr>
              <w:jc w:val="center"/>
              <w:rPr>
                <w:b/>
                <w:sz w:val="24"/>
                <w:szCs w:val="24"/>
              </w:rPr>
            </w:pPr>
            <w:r w:rsidRPr="00BC4B25">
              <w:rPr>
                <w:b/>
                <w:sz w:val="24"/>
                <w:szCs w:val="24"/>
              </w:rPr>
              <w:t>ОПК-1</w:t>
            </w:r>
          </w:p>
        </w:tc>
        <w:tc>
          <w:tcPr>
            <w:tcW w:w="7684" w:type="dxa"/>
            <w:vAlign w:val="center"/>
          </w:tcPr>
          <w:p w:rsidR="00BC4B25" w:rsidRPr="00BC4B25" w:rsidRDefault="00BC4B25" w:rsidP="00BC4B25">
            <w:pPr>
              <w:spacing w:after="120"/>
              <w:rPr>
                <w:sz w:val="24"/>
                <w:szCs w:val="24"/>
              </w:rPr>
            </w:pPr>
            <w:r w:rsidRPr="00BC4B25">
              <w:rPr>
                <w:sz w:val="24"/>
                <w:szCs w:val="24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BC4B25" w:rsidRPr="00B6713F" w:rsidTr="00BC4B25">
        <w:trPr>
          <w:jc w:val="center"/>
        </w:trPr>
        <w:tc>
          <w:tcPr>
            <w:tcW w:w="1661" w:type="dxa"/>
          </w:tcPr>
          <w:p w:rsidR="00BC4B25" w:rsidRPr="00B6713F" w:rsidRDefault="00BC4B25" w:rsidP="00BC4B25">
            <w:pPr>
              <w:spacing w:after="120"/>
              <w:ind w:firstLine="235"/>
              <w:jc w:val="center"/>
              <w:rPr>
                <w:b/>
                <w:sz w:val="24"/>
                <w:szCs w:val="24"/>
              </w:rPr>
            </w:pPr>
            <w:r w:rsidRPr="00B6713F">
              <w:rPr>
                <w:b/>
                <w:sz w:val="24"/>
                <w:szCs w:val="24"/>
              </w:rPr>
              <w:t>ОПК-2</w:t>
            </w:r>
          </w:p>
        </w:tc>
        <w:tc>
          <w:tcPr>
            <w:tcW w:w="7684" w:type="dxa"/>
            <w:vAlign w:val="center"/>
          </w:tcPr>
          <w:p w:rsidR="00BC4B25" w:rsidRPr="00B6713F" w:rsidRDefault="00BC4B25" w:rsidP="00BC4B25">
            <w:pPr>
              <w:spacing w:after="120"/>
              <w:jc w:val="both"/>
              <w:rPr>
                <w:sz w:val="24"/>
                <w:szCs w:val="24"/>
              </w:rPr>
            </w:pPr>
            <w:r w:rsidRPr="00B6713F">
              <w:rPr>
                <w:sz w:val="24"/>
                <w:szCs w:val="24"/>
              </w:rPr>
              <w:t>способностью работать на благо общества и государства</w:t>
            </w:r>
          </w:p>
        </w:tc>
      </w:tr>
      <w:tr w:rsidR="00BC4B25" w:rsidRPr="00BC4B25" w:rsidTr="00BC4B25">
        <w:trPr>
          <w:jc w:val="center"/>
        </w:trPr>
        <w:tc>
          <w:tcPr>
            <w:tcW w:w="1661" w:type="dxa"/>
          </w:tcPr>
          <w:p w:rsidR="00BC4B25" w:rsidRPr="00BC4B25" w:rsidRDefault="00BC4B25" w:rsidP="00BC4B25">
            <w:pPr>
              <w:jc w:val="center"/>
              <w:rPr>
                <w:b/>
                <w:sz w:val="24"/>
                <w:szCs w:val="24"/>
              </w:rPr>
            </w:pPr>
            <w:r w:rsidRPr="00BC4B25">
              <w:rPr>
                <w:b/>
                <w:sz w:val="24"/>
                <w:szCs w:val="24"/>
              </w:rPr>
              <w:t>ПК-7</w:t>
            </w:r>
          </w:p>
        </w:tc>
        <w:tc>
          <w:tcPr>
            <w:tcW w:w="7684" w:type="dxa"/>
            <w:vAlign w:val="center"/>
          </w:tcPr>
          <w:p w:rsidR="00BC4B25" w:rsidRPr="00BC4B25" w:rsidRDefault="00BC4B25" w:rsidP="00BC4B25">
            <w:pPr>
              <w:spacing w:after="120"/>
              <w:rPr>
                <w:sz w:val="24"/>
                <w:szCs w:val="24"/>
              </w:rPr>
            </w:pPr>
            <w:r w:rsidRPr="00BC4B25">
              <w:rPr>
                <w:sz w:val="24"/>
                <w:szCs w:val="24"/>
              </w:rPr>
              <w:t>владением навыками подготовки юридических документов</w:t>
            </w:r>
          </w:p>
        </w:tc>
      </w:tr>
      <w:tr w:rsidR="00BC4B25" w:rsidRPr="00B6713F" w:rsidTr="00BC4B25">
        <w:trPr>
          <w:jc w:val="center"/>
        </w:trPr>
        <w:tc>
          <w:tcPr>
            <w:tcW w:w="1661" w:type="dxa"/>
          </w:tcPr>
          <w:p w:rsidR="00BC4B25" w:rsidRPr="00B6713F" w:rsidRDefault="00BC4B25" w:rsidP="00BC4B25">
            <w:pPr>
              <w:spacing w:after="120"/>
              <w:ind w:firstLine="235"/>
              <w:jc w:val="center"/>
              <w:rPr>
                <w:b/>
                <w:sz w:val="24"/>
                <w:szCs w:val="24"/>
              </w:rPr>
            </w:pPr>
            <w:r w:rsidRPr="00B6713F">
              <w:rPr>
                <w:b/>
                <w:sz w:val="24"/>
                <w:szCs w:val="24"/>
              </w:rPr>
              <w:t>ПК-8</w:t>
            </w:r>
          </w:p>
        </w:tc>
        <w:tc>
          <w:tcPr>
            <w:tcW w:w="7684" w:type="dxa"/>
            <w:vAlign w:val="center"/>
          </w:tcPr>
          <w:p w:rsidR="00BC4B25" w:rsidRPr="00B6713F" w:rsidRDefault="00BC4B25" w:rsidP="00BC4B25">
            <w:pPr>
              <w:spacing w:after="120"/>
              <w:jc w:val="both"/>
              <w:rPr>
                <w:sz w:val="24"/>
                <w:szCs w:val="24"/>
              </w:rPr>
            </w:pPr>
            <w:r w:rsidRPr="00B6713F">
              <w:rPr>
                <w:sz w:val="24"/>
                <w:szCs w:val="24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BC4B25" w:rsidRPr="00B6713F" w:rsidTr="00BC4B25">
        <w:trPr>
          <w:jc w:val="center"/>
        </w:trPr>
        <w:tc>
          <w:tcPr>
            <w:tcW w:w="1661" w:type="dxa"/>
            <w:vAlign w:val="center"/>
          </w:tcPr>
          <w:p w:rsidR="00BC4B25" w:rsidRPr="00B6713F" w:rsidRDefault="00BC4B25" w:rsidP="00BC4B25">
            <w:pPr>
              <w:spacing w:after="120"/>
              <w:ind w:firstLine="235"/>
              <w:jc w:val="center"/>
              <w:rPr>
                <w:b/>
                <w:sz w:val="24"/>
                <w:szCs w:val="24"/>
              </w:rPr>
            </w:pPr>
            <w:r w:rsidRPr="00B6713F">
              <w:rPr>
                <w:b/>
                <w:sz w:val="24"/>
                <w:szCs w:val="24"/>
              </w:rPr>
              <w:t>ПК-10</w:t>
            </w:r>
          </w:p>
        </w:tc>
        <w:tc>
          <w:tcPr>
            <w:tcW w:w="7684" w:type="dxa"/>
            <w:vAlign w:val="center"/>
          </w:tcPr>
          <w:p w:rsidR="00BC4B25" w:rsidRPr="00B6713F" w:rsidRDefault="00BC4B25" w:rsidP="00BC4B25">
            <w:pPr>
              <w:spacing w:after="120"/>
              <w:jc w:val="both"/>
              <w:rPr>
                <w:sz w:val="24"/>
                <w:szCs w:val="24"/>
              </w:rPr>
            </w:pPr>
            <w:r w:rsidRPr="00B6713F">
              <w:rPr>
                <w:sz w:val="24"/>
                <w:szCs w:val="24"/>
              </w:rPr>
              <w:t>способностью выявлять, пресекать, раскрывать и расследовать преступления и иные правонарушения</w:t>
            </w:r>
          </w:p>
        </w:tc>
      </w:tr>
      <w:tr w:rsidR="00BC4B25" w:rsidRPr="00B6713F" w:rsidTr="00BC4B25">
        <w:trPr>
          <w:jc w:val="center"/>
        </w:trPr>
        <w:tc>
          <w:tcPr>
            <w:tcW w:w="1661" w:type="dxa"/>
          </w:tcPr>
          <w:p w:rsidR="00BC4B25" w:rsidRPr="00B6713F" w:rsidRDefault="00BC4B25" w:rsidP="00BC4B25">
            <w:pPr>
              <w:spacing w:after="120"/>
              <w:ind w:firstLine="235"/>
              <w:jc w:val="center"/>
              <w:rPr>
                <w:b/>
                <w:sz w:val="24"/>
                <w:szCs w:val="24"/>
              </w:rPr>
            </w:pPr>
            <w:r w:rsidRPr="00B6713F">
              <w:rPr>
                <w:b/>
                <w:sz w:val="24"/>
                <w:szCs w:val="24"/>
              </w:rPr>
              <w:t>ПК-11</w:t>
            </w:r>
          </w:p>
        </w:tc>
        <w:tc>
          <w:tcPr>
            <w:tcW w:w="7684" w:type="dxa"/>
            <w:vAlign w:val="center"/>
          </w:tcPr>
          <w:p w:rsidR="00BC4B25" w:rsidRPr="00B6713F" w:rsidRDefault="00BC4B25" w:rsidP="00BC4B25">
            <w:pPr>
              <w:spacing w:after="120"/>
              <w:jc w:val="both"/>
              <w:rPr>
                <w:sz w:val="24"/>
                <w:szCs w:val="24"/>
              </w:rPr>
            </w:pPr>
            <w:r w:rsidRPr="00B6713F">
              <w:rPr>
                <w:sz w:val="24"/>
                <w:szCs w:val="24"/>
              </w:rPr>
              <w:t>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</w:tr>
      <w:tr w:rsidR="00BC4B25" w:rsidRPr="00B6713F" w:rsidTr="00BC4B25">
        <w:trPr>
          <w:jc w:val="center"/>
        </w:trPr>
        <w:tc>
          <w:tcPr>
            <w:tcW w:w="1661" w:type="dxa"/>
          </w:tcPr>
          <w:p w:rsidR="00BC4B25" w:rsidRPr="00B6713F" w:rsidRDefault="00BC4B25" w:rsidP="00BC4B25">
            <w:pPr>
              <w:spacing w:after="120"/>
              <w:ind w:firstLine="235"/>
              <w:jc w:val="center"/>
              <w:rPr>
                <w:b/>
                <w:sz w:val="24"/>
                <w:szCs w:val="24"/>
              </w:rPr>
            </w:pPr>
            <w:r w:rsidRPr="00B6713F">
              <w:rPr>
                <w:b/>
                <w:sz w:val="24"/>
                <w:szCs w:val="24"/>
              </w:rPr>
              <w:t>ПК-12</w:t>
            </w:r>
          </w:p>
        </w:tc>
        <w:tc>
          <w:tcPr>
            <w:tcW w:w="7684" w:type="dxa"/>
            <w:vAlign w:val="center"/>
          </w:tcPr>
          <w:p w:rsidR="00BC4B25" w:rsidRPr="00B6713F" w:rsidRDefault="00BC4B25" w:rsidP="00BC4B25">
            <w:pPr>
              <w:spacing w:after="120"/>
              <w:jc w:val="both"/>
              <w:rPr>
                <w:sz w:val="24"/>
                <w:szCs w:val="24"/>
              </w:rPr>
            </w:pPr>
            <w:r w:rsidRPr="00B6713F">
              <w:rPr>
                <w:sz w:val="24"/>
                <w:szCs w:val="24"/>
              </w:rPr>
              <w:t xml:space="preserve">способностью выявлять, давать оценку коррупционному поведению и содействовать его пресечению 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767913" w:rsidRDefault="00767913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67913" w:rsidRPr="00957D46" w:rsidTr="00B6713F">
        <w:tc>
          <w:tcPr>
            <w:tcW w:w="861" w:type="dxa"/>
          </w:tcPr>
          <w:p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767913" w:rsidRPr="00957D46" w:rsidRDefault="00767913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767913" w:rsidRPr="00957D46" w:rsidTr="00B6713F">
        <w:tc>
          <w:tcPr>
            <w:tcW w:w="861" w:type="dxa"/>
          </w:tcPr>
          <w:p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767913" w:rsidRPr="00B6713F" w:rsidRDefault="00B6713F" w:rsidP="00B6713F">
            <w:pPr>
              <w:spacing w:after="120"/>
              <w:jc w:val="both"/>
              <w:rPr>
                <w:sz w:val="24"/>
                <w:szCs w:val="24"/>
              </w:rPr>
            </w:pPr>
            <w:r w:rsidRPr="00B6713F">
              <w:rPr>
                <w:sz w:val="24"/>
                <w:szCs w:val="24"/>
              </w:rPr>
              <w:t>Понятие оперативно-розыскной деятельности, ее значение и место в решении задач уголовной политики и борьбы с преступностью. Социальная обусловленность оперативно-розыскной деятельности как особого метода государственной борьбы с преступностью. Разведывательный характер оперативно-розыскной деятельности.</w:t>
            </w:r>
          </w:p>
        </w:tc>
      </w:tr>
      <w:tr w:rsidR="00767913" w:rsidRPr="00957D46" w:rsidTr="00B6713F">
        <w:tc>
          <w:tcPr>
            <w:tcW w:w="861" w:type="dxa"/>
          </w:tcPr>
          <w:p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767913" w:rsidRPr="00B6713F" w:rsidRDefault="00B6713F" w:rsidP="00B6713F">
            <w:pPr>
              <w:spacing w:after="120"/>
              <w:jc w:val="both"/>
              <w:rPr>
                <w:sz w:val="24"/>
                <w:szCs w:val="24"/>
              </w:rPr>
            </w:pPr>
            <w:r w:rsidRPr="00B6713F">
              <w:rPr>
                <w:sz w:val="24"/>
                <w:szCs w:val="24"/>
              </w:rPr>
              <w:t>Понятие оперативно-розыскного мероприятия. Виды оперативно-розыскных мероприятий, их сущность и классификации по различным основаниям. Содержание конкретных оперативно-розыскных мероприятий</w:t>
            </w:r>
          </w:p>
        </w:tc>
      </w:tr>
      <w:tr w:rsidR="00767913" w:rsidRPr="00957D46" w:rsidTr="00B6713F">
        <w:tc>
          <w:tcPr>
            <w:tcW w:w="861" w:type="dxa"/>
          </w:tcPr>
          <w:p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767913" w:rsidRPr="00B6713F" w:rsidRDefault="00B6713F" w:rsidP="00B6713F">
            <w:pPr>
              <w:spacing w:after="120"/>
              <w:jc w:val="both"/>
              <w:rPr>
                <w:sz w:val="24"/>
                <w:szCs w:val="24"/>
              </w:rPr>
            </w:pPr>
            <w:r w:rsidRPr="00B6713F">
              <w:rPr>
                <w:sz w:val="24"/>
                <w:szCs w:val="24"/>
              </w:rPr>
              <w:t xml:space="preserve">Понятие оснований проведения оперативно-розыскных мероприятий. Перечень оснований проведения оперативно-розыскных мероприятий, предусмотренный Федеральным законом "Об оперативно-розыскной деятельности". </w:t>
            </w:r>
          </w:p>
        </w:tc>
      </w:tr>
      <w:tr w:rsidR="00767913" w:rsidRPr="00957D46" w:rsidTr="00B6713F">
        <w:tc>
          <w:tcPr>
            <w:tcW w:w="861" w:type="dxa"/>
          </w:tcPr>
          <w:p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767913" w:rsidRPr="00B6713F" w:rsidRDefault="00B6713F" w:rsidP="00B6713F">
            <w:pPr>
              <w:spacing w:after="120"/>
              <w:rPr>
                <w:sz w:val="24"/>
                <w:szCs w:val="24"/>
              </w:rPr>
            </w:pPr>
            <w:r w:rsidRPr="00B6713F">
              <w:rPr>
                <w:sz w:val="24"/>
                <w:szCs w:val="24"/>
              </w:rPr>
              <w:t>Наличие возбужденного уголовного дела.</w:t>
            </w:r>
          </w:p>
        </w:tc>
      </w:tr>
    </w:tbl>
    <w:p w:rsidR="004710D0" w:rsidRDefault="00767913" w:rsidP="00BC4B25">
      <w:pPr>
        <w:outlineLvl w:val="0"/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 w:rsidR="00B6713F">
        <w:rPr>
          <w:b/>
          <w:sz w:val="28"/>
          <w:szCs w:val="28"/>
        </w:rPr>
        <w:t>зачет</w:t>
      </w:r>
      <w:bookmarkStart w:id="0" w:name="_GoBack"/>
      <w:bookmarkEnd w:id="0"/>
    </w:p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13"/>
    <w:rsid w:val="004710D0"/>
    <w:rsid w:val="00767913"/>
    <w:rsid w:val="00AB51D1"/>
    <w:rsid w:val="00B6713F"/>
    <w:rsid w:val="00BC4B25"/>
    <w:rsid w:val="00E0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A279"/>
  <w15:chartTrackingRefBased/>
  <w15:docId w15:val="{EBD79918-5BC6-402A-A6E6-F7CFE453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Гагарина Ирина Юрьевна</cp:lastModifiedBy>
  <cp:revision>3</cp:revision>
  <dcterms:created xsi:type="dcterms:W3CDTF">2018-11-04T07:10:00Z</dcterms:created>
  <dcterms:modified xsi:type="dcterms:W3CDTF">2018-11-28T07:17:00Z</dcterms:modified>
</cp:coreProperties>
</file>