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Style w:val="TableGrid"/>
        <w:tblW w:w="9889" w:type="dxa"/>
        <w:tblInd w:w="0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3297"/>
        <w:gridCol w:w="1897"/>
        <w:gridCol w:w="4695"/>
      </w:tblGrid>
      <w:tr>
        <w:trPr>
          <w:trHeight w:val="567"/>
        </w:trPr>
        <w:tc>
          <w:tcPr>
            <w:cnfStyle w:val="101000000000"/>
            <w:tcW w:w="988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bookmarkStart w:id="0" w:name="_Toc62039376"/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rPr>
          <w:trHeight w:val="454"/>
        </w:trPr>
        <w:tc>
          <w:tcPr>
            <w:cnfStyle w:val="001000100000"/>
            <w:tcW w:w="9889" w:type="dxa"/>
            <w:gridSpan w:val="3"/>
            <w:tcBorders>
              <w:top w:val="nil" w:sz="4" w:space="0"/>
              <w:left w:val="nil" w:sz="4" w:space="0"/>
              <w:bottom w:val="single" w:color="auto" w:sz="4" w:space="0"/>
              <w:right w:val="nil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bookmarkStart w:id="1" w:name="_Toc62039377"/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СТИЛИСТИКА ПЕРВОГО ИНОСТРАННОГО ЯЗЫКА (АНГЛИЙСКИЙ</w:t>
            </w:r>
            <w:bookmarkEnd w:id="1"/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ЯЗЫК</w:t>
            </w: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)</w:t>
            </w:r>
          </w:p>
        </w:tc>
      </w:tr>
      <w:tr>
        <w:trPr>
          <w:trHeight w:val="567"/>
        </w:trPr>
        <w:tc>
          <w:tcPr>
            <w:cnfStyle w:val="001000010000"/>
            <w:tcW w:w="3297" w:type="dxa"/>
            <w:tcBorders>
              <w:top w:val="single" w:color="auto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6592" w:type="dxa"/>
            <w:gridSpan w:val="2"/>
            <w:tcBorders>
              <w:top w:val="single" w:color="auto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>
        <w:trPr>
          <w:trHeight w:val="567"/>
        </w:trPr>
        <w:tc>
          <w:tcPr>
            <w:cnfStyle w:val="001000100000"/>
            <w:tcW w:w="3297" w:type="dxa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cnfStyle w:val="000000100000"/>
            <w:tcW w:w="1897" w:type="dxa"/>
          </w:tcPr>
          <w:p>
            <w:pPr>
              <w:spacing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45.03.02 </w:t>
            </w:r>
          </w:p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Лингвистика</w:t>
            </w:r>
          </w:p>
        </w:tc>
        <w:tc>
          <w:tcPr>
            <w:cnfStyle w:val="000000100000"/>
            <w:tcW w:w="4695" w:type="dxa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1000010000"/>
            <w:tcW w:w="3297" w:type="dxa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cnfStyle w:val="000000010000"/>
            <w:tcW w:w="6592" w:type="dxa"/>
            <w:gridSpan w:val="2"/>
          </w:tcPr>
          <w:p>
            <w:pPr>
              <w:spacing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>
        <w:trPr>
          <w:trHeight w:val="567"/>
        </w:trPr>
        <w:tc>
          <w:tcPr>
            <w:cnfStyle w:val="001000100000"/>
            <w:tcW w:w="3297" w:type="dxa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cnfStyle w:val="000000100000"/>
            <w:tcW w:w="6592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 года</w:t>
            </w:r>
          </w:p>
        </w:tc>
      </w:tr>
      <w:tr>
        <w:trPr>
          <w:trHeight w:val="567"/>
        </w:trPr>
        <w:tc>
          <w:tcPr>
            <w:cnfStyle w:val="001000010000"/>
            <w:tcW w:w="3297" w:type="dxa"/>
            <w:vAlign w:val="bottom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Форма обучения</w:t>
            </w:r>
          </w:p>
        </w:tc>
        <w:tc>
          <w:tcPr>
            <w:cnfStyle w:val="000000010000"/>
            <w:tcW w:w="6592" w:type="dxa"/>
            <w:gridSpan w:val="2"/>
            <w:vAlign w:val="bottom"/>
          </w:tcPr>
          <w:p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Стилистика первого иностранного языка (английский язык)</w:t>
      </w:r>
      <w:r>
        <w:rPr>
          <w:rFonts w:ascii="Times New Roman" w:eastAsia="MS Mincho" w:hAnsi="Times New Roman"/>
          <w:sz w:val="24"/>
          <w:szCs w:val="24"/>
          <w:lang w:eastAsia="ru-RU"/>
        </w:rPr>
        <w:t>»</w:t>
      </w:r>
      <w:r>
        <w:rPr>
          <w:rFonts w:ascii="Times New Roman" w:eastAsia="MS Mincho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изучается в пятом и шестом семестрах.</w:t>
      </w: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Курсовая работа не предусмотрена.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>1.1 Форма промежуточной аттестации</w:t>
      </w: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bCs/>
          <w:i/>
          <w:iCs/>
          <w:sz w:val="24"/>
          <w:szCs w:val="24"/>
          <w:lang w:eastAsia="ru-RU"/>
        </w:rPr>
      </w:pPr>
    </w:p>
    <w:tbl>
      <w:tblPr>
        <w:tblStyle w:val="TableGrid"/>
        <w:tblW w:w="0" w:type="auto"/>
        <w:tblInd w:w="1526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2869"/>
        <w:gridCol w:w="1024"/>
      </w:tblGrid>
      <w:tr>
        <w:trPr/>
        <w:tc>
          <w:tcPr>
            <w:cnfStyle w:val="101000000000"/>
            <w:tcW w:w="2869" w:type="dxa"/>
          </w:tcPr>
          <w:p>
            <w:pPr>
              <w:spacing w:line="240" w:lineRule="auto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  <w:t>Пятый семестр – зачет; шестой семестр - экзамен</w:t>
            </w:r>
          </w:p>
        </w:tc>
        <w:tc>
          <w:tcPr>
            <w:cnfStyle w:val="100000000000"/>
            <w:tcW w:w="1024" w:type="dxa"/>
          </w:tcPr>
          <w:p>
            <w:pPr>
              <w:spacing w:line="240" w:lineRule="auto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</w:p>
        </w:tc>
      </w:tr>
    </w:tbl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>1.2 Место учебной дисциплины  в структуре ОПОП</w:t>
      </w: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Стилистика первого иностранного языка (английский)»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относится к обязательной части программы.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 xml:space="preserve">1.3 Цели и планируемые результаты обучения по дисциплине 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Целями изучения дисциплины являются: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освоение основных   понятий   стилистики, составляющих основу теоретической и практической профессиональной подготовки; 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освоение методов и подходов к анализу текстов различной функциональной принадлежности;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принципов анализа текстов с учетом сложных межязыковых и междисциплинарных связей</w:t>
      </w:r>
      <w:r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формирование представления о стилистических ресурсах современного английского языка и их проявлений на фонетическом, лексико-семантическом, морфологическом и синтаксическом уровнях языка; 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дифференциация различных функциональных стилей;  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color w:val="000000"/>
          <w:lang w:eastAsia="ru-RU"/>
        </w:rPr>
      </w:pPr>
      <w:r>
        <w:rPr>
          <w:rFonts w:ascii="Times New Roman" w:eastAsia="MS Mincho" w:hAnsi="Times New Roman"/>
          <w:color w:val="000000"/>
          <w:lang w:eastAsia="ru-RU"/>
        </w:rPr>
        <w:t xml:space="preserve">- </w:t>
      </w:r>
      <w:r>
        <w:rPr>
          <w:rFonts w:ascii="Times New Roman" w:eastAsia="MS Mincho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="MS Mincho" w:hAnsi="Times New Roman"/>
          <w:color w:val="000000"/>
          <w:lang w:eastAsia="ru-RU"/>
        </w:rPr>
        <w:t>применение   полученных   теоретических   знаний   на   практике   в процессе межкультурной коммуникации;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color w:val="000000"/>
          <w:lang w:eastAsia="ru-RU"/>
        </w:rPr>
      </w:pPr>
      <w:r>
        <w:rPr>
          <w:rFonts w:ascii="Times New Roman" w:eastAsia="MS Mincho" w:hAnsi="Times New Roman"/>
          <w:color w:val="000000"/>
          <w:lang w:eastAsia="ru-RU"/>
        </w:rPr>
        <w:t xml:space="preserve">- умение работать с научной литературой; </w:t>
      </w:r>
    </w:p>
    <w:p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000000"/>
          <w:lang w:eastAsia="ru-RU"/>
        </w:rPr>
        <w:t xml:space="preserve">- </w:t>
      </w:r>
      <w:r>
        <w:rPr>
          <w:rFonts w:ascii="Times New Roman" w:eastAsia="MS Mincho" w:hAnsi="Times New Roman"/>
          <w:color w:val="000000"/>
          <w:spacing w:val="2"/>
          <w:lang w:eastAsia="ru-RU"/>
        </w:rPr>
        <w:t xml:space="preserve">на основе полученных знаний формирование навыка самостоятельно ставить исследовательские </w:t>
      </w:r>
      <w:r>
        <w:rPr>
          <w:rFonts w:ascii="Times New Roman" w:eastAsia="MS Mincho" w:hAnsi="Times New Roman"/>
          <w:color w:val="000000"/>
          <w:spacing w:val="-1"/>
          <w:lang w:eastAsia="ru-RU"/>
        </w:rPr>
        <w:t>задачи и находить адекватные методы их решения; применять полученные знания в аспекте междисциплинарных связей.</w:t>
      </w: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>
      <w:pPr>
        <w:numPr>
          <w:ilvl w:val="3"/>
          <w:numId w:val="1"/>
        </w:numPr>
        <w:spacing w:after="0" w:line="240" w:lineRule="auto"/>
        <w:contextualSpacing w:val="on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Результатом обучения по дисциплине является овладение обучающимися</w:t>
      </w:r>
      <w:r>
        <w:rPr>
          <w:rFonts w:ascii="Times New Roman" w:eastAsia="MS Mincho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>
      <w:pPr>
        <w:keepNext w:val="on"/>
        <w:spacing w:before="120" w:after="120" w:line="240" w:lineRule="auto"/>
        <w:ind w:left="708" w:right="0" w:firstLine="0"/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>1) Формируемые компетенции и индикаторы достижения компетенций:</w:t>
      </w:r>
    </w:p>
    <w:tbl>
      <w:tblPr>
        <w:tblW w:w="9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/>
      </w:tblPr>
      <w:tblGrid>
        <w:gridCol w:w="1758"/>
        <w:gridCol w:w="2551"/>
        <w:gridCol w:w="5529"/>
      </w:tblGrid>
      <w:tr>
        <w:trPr>
          <w:tblHeader w:val="on"/>
        </w:trPr>
        <w:tc>
          <w:tcPr>
            <w:cnfStyle w:val="1010000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cnfStyle w:val="100010000000"/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22"/>
                <w:szCs w:val="22"/>
                <w:lang w:eastAsia="ru-RU"/>
              </w:rPr>
              <w:t>Код и наименование индикатора</w:t>
            </w:r>
          </w:p>
          <w:p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22"/>
                <w:szCs w:val="22"/>
                <w:lang w:eastAsia="ru-RU"/>
              </w:rPr>
              <w:t>достижения компетенции</w:t>
            </w:r>
          </w:p>
        </w:tc>
        <w:tc>
          <w:tcPr>
            <w:cnfStyle w:val="100001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Планируемые результаты обучения </w:t>
            </w:r>
          </w:p>
          <w:p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ru-RU"/>
              </w:rPr>
              <w:t>дисциплине</w:t>
            </w:r>
          </w:p>
        </w:tc>
      </w:tr>
      <w:tr>
        <w:trPr>
          <w:trHeight w:val="283"/>
        </w:trPr>
        <w:tc>
          <w:tcPr>
            <w:cnfStyle w:val="001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ОПК-1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</w:r>
          </w:p>
          <w:p>
            <w:pPr>
              <w:widowControl w:val="o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cnfStyle w:val="000010100000"/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ИД-ОПК-1.2</w:t>
            </w:r>
          </w:p>
          <w:p>
            <w:pPr>
              <w:widowControl w:val="o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Интерпретация основных проявлений взаимосвязи языковых уровней и взаимоотношения подсистем языка.</w:t>
            </w:r>
          </w:p>
        </w:tc>
        <w:tc>
          <w:tcPr>
            <w:cnfStyle w:val="0000011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Умеет</w:t>
            </w:r>
            <w:r>
              <w:rPr>
                <w:rFonts w:ascii="Times New Roman" w:eastAsia="MS Mincho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выявлять и классифицировать языковые компоненты и рассмотреть их стилистический потенциал; видеть связи слов и словосочетаний в более крупных образованиях, понимать текст как единое пространство; понимать внутритекстовые и межтекстовые связи; применять специфические термины; структурировать текст и выявлять его составляющие; применять методы лингвистического анализа; понимать различия функциональных стилей языка.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>
        <w:trPr>
          <w:trHeight w:val="283"/>
        </w:trPr>
        <w:tc>
          <w:tcPr>
            <w:cnfStyle w:val="001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ПК-2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 xml:space="preserve">Способен  прослеживать  междисциплинарные связи изучаемых дисциплин, понимает их значение для будущей профессиональной деятельности 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cnfStyle w:val="000010010000"/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ИД-ПК-2.1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 xml:space="preserve">Поиск и интерпретация междисциплинарных связей гуманитарного спектра; грамотное использование терминологии пограничных областей, тем и понятий.  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cnfStyle w:val="00000101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Владеет системой понятий, характерной для смежных областей; умениями использовать всю полноту системных знаний для конкретной лингвистической сферы.</w:t>
            </w:r>
          </w:p>
        </w:tc>
      </w:tr>
      <w:tr>
        <w:trPr>
          <w:trHeight w:val="283"/>
        </w:trPr>
        <w:tc>
          <w:tcPr>
            <w:cnfStyle w:val="00100010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ПК-5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  <w:t>способен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      </w:r>
          </w:p>
        </w:tc>
        <w:tc>
          <w:tcPr>
            <w:cnfStyle w:val="000010100000"/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ИД-ПК-5.1</w:t>
            </w:r>
          </w:p>
          <w:p>
            <w:pPr>
              <w:widowControl w:val="o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Знание лексико-грамматических и прагматических особенностей языка; методов лингвистического анализа; закономерностей формирования различных аспектов языка; классификации языковых явлений и их особенности</w:t>
            </w:r>
          </w:p>
        </w:tc>
        <w:tc>
          <w:tcPr>
            <w:cnfStyle w:val="0000011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  <w:lang w:eastAsia="ru-RU"/>
              </w:rPr>
              <w:t>Владеет терминологией и методологией лингвистического анализа текста; понимает структуру текста, вычленяет его составные части; понимает стилистические вариации лексического состава языка, понимает стилистический потенциал звука, графики, морфемы, частей речи, предложения; понимает принципы отклонения от языковой нормы для создания маркированности; знает особенности функциональных стилей.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>
        <w:trPr>
          <w:trHeight w:val="283"/>
        </w:trPr>
        <w:tc>
          <w:tcPr>
            <w:cnfStyle w:val="001000010000"/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cnfStyle w:val="000010010000"/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  <w:t>ИД-ПК-5.2</w:t>
            </w:r>
          </w:p>
          <w:p>
            <w:pPr>
              <w:spacing w:after="0" w:line="240" w:lineRule="auto"/>
              <w:rPr>
                <w:rFonts w:ascii="Times New Roman" w:eastAsia="MS Mincho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  <w:t xml:space="preserve">Реализация навыков работы с разными языковыми уровнями; </w:t>
            </w:r>
            <w:r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  <w:t>основными техниками анализа и интерпретации</w:t>
            </w:r>
            <w:r>
              <w:rPr>
                <w:rFonts w:ascii="Times New Roman" w:eastAsia="MS Mincho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cnfStyle w:val="00000101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  <w:t xml:space="preserve">Владеет методами лингвистического (лингвостилистического) анализа текста; выявляет стилистические особенности функционирования языка на фонетическом, лексико-семантическом, </w:t>
            </w:r>
            <w:r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ru-RU"/>
              </w:rPr>
              <w:t>морфологическом и синтаксическом уровнях; умеет выявлять экстралингвистические и паралингвистические параметры текста, интерпретировать взаимосвязи внутри текста и между текстами на основе полученных теоретических знаний</w:t>
            </w:r>
          </w:p>
        </w:tc>
      </w:tr>
    </w:tbl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</w:pPr>
    </w:p>
    <w:p>
      <w:pPr>
        <w:keepNext w:val="on"/>
        <w:spacing w:before="120" w:after="120" w:line="240" w:lineRule="auto"/>
        <w:rPr>
          <w:rFonts w:ascii="Times New Roman" w:cs="Arial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6"/>
          <w:lang w:eastAsia="ru-RU"/>
        </w:rPr>
        <w:t>2) Общая трудоёмкость учебной дисциплины (модуля) по учебному плану составляет:</w:t>
      </w:r>
    </w:p>
    <w:tbl>
      <w:tblPr>
        <w:tblStyle w:val="TableGrid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>
        <w:trPr>
          <w:trHeight w:val="340"/>
        </w:trPr>
        <w:tc>
          <w:tcPr>
            <w:cnfStyle w:val="10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cnfStyle w:val="1000000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  <w:tc>
          <w:tcPr>
            <w:cnfStyle w:val="100000000000"/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з.е.</w:t>
            </w:r>
          </w:p>
        </w:tc>
        <w:tc>
          <w:tcPr>
            <w:cnfStyle w:val="1000000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180</w:t>
            </w:r>
          </w:p>
        </w:tc>
        <w:tc>
          <w:tcPr>
            <w:cnfStyle w:val="100000000000"/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час.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10" w:firstLine="0"/>
      </w:pPr>
      <w:rPr>
        <w:b w:val="off"/>
        <w:i w:val="off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off"/>
        <w:i w:val="off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off"/>
        <w:i w:val="off"/>
      </w:rPr>
    </w:lvl>
    <w:lvl w:ilvl="3" w:tentative="0">
      <w:start w:val="1"/>
      <w:numFmt w:val="none"/>
      <w:lvlText w:val=""/>
      <w:lvlJc w:val="left"/>
      <w:pPr>
        <w:ind w:left="0" w:firstLine="0"/>
      </w:pPr>
    </w:lvl>
    <w:lvl w:ilvl="4" w:tentative="0">
      <w:start w:val="1"/>
      <w:numFmt w:val="none"/>
      <w:lvlText w:val=""/>
      <w:lvlJc w:val="left"/>
      <w:pPr>
        <w:ind w:left="2268" w:hanging="828"/>
      </w:p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D2"/>
    <w:rsid w:val="002B672C"/>
    <w:rsid w:val="007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2162"/>
  <w15:chartTrackingRefBased/>
  <w15:docId w15:val="{A589603F-EB1C-4F73-8AF3-356C2D39757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line="25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Vladi</dc:creator>
  <cp:lastModifiedBy>Nella Vladi</cp:lastModifiedBy>
</cp:coreProperties>
</file>