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tbl>
      <w:tblPr>
        <w:tblW w:w="9889" w:type="dxa"/>
        <w:tblLook w:val="00A0"/>
      </w:tblPr>
      <w:tblGrid>
        <w:gridCol w:w="3330"/>
        <w:gridCol w:w="1350"/>
        <w:gridCol w:w="5209"/>
      </w:tblGrid>
      <w:tr>
        <w:trPr>
          <w:trHeight w:val="567"/>
        </w:trPr>
        <w:tc>
          <w:tcPr>
            <w:cnfStyle w:val="101000000000"/>
            <w:tcW w:w="988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 xml:space="preserve">УЧЕБНОЙ ДИСЦИПЛИНЫ </w:t>
            </w:r>
            <w:bookmarkEnd w:id="0"/>
          </w:p>
        </w:tc>
      </w:tr>
      <w:tr>
        <w:trPr>
          <w:trHeight w:val="454"/>
        </w:trPr>
        <w:tc>
          <w:tcPr>
            <w:cnfStyle w:val="001000100000"/>
            <w:tcW w:w="9889" w:type="dxa"/>
            <w:gridSpan w:val="3"/>
            <w:tcBorders>
              <w:top w:val="nil" w:sz="4" w:space="0"/>
              <w:left w:val="nil" w:sz="4" w:space="0"/>
              <w:bottom w:val="single" w:color="auto" w:sz="4" w:space="0"/>
              <w:right w:val="nil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>ТЕОРИ</w:t>
            </w:r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 xml:space="preserve"> МЕЖКУЛЬТУРНОЙ КОМ</w:t>
            </w:r>
            <w:r>
              <w:rPr>
                <w:rFonts w:ascii="Times New Roman" w:cs="Times New Roman" w:eastAsia="MS Mincho" w:hAnsi="Times New Roman"/>
                <w:b/>
                <w:sz w:val="26"/>
                <w:szCs w:val="26"/>
                <w:lang w:eastAsia="ru-RU"/>
              </w:rPr>
              <w:t>ПТЕНЦИИ</w:t>
            </w:r>
          </w:p>
        </w:tc>
      </w:tr>
      <w:tr>
        <w:trPr>
          <w:trHeight w:val="567"/>
        </w:trPr>
        <w:tc>
          <w:tcPr>
            <w:cnfStyle w:val="001000010000"/>
            <w:tcW w:w="3330" w:type="dxa"/>
            <w:tcBorders>
              <w:top w:val="single" w:color="auto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bookmarkStart w:id="1" w:name="_Toc62039378"/>
            <w:bookmarkStart w:id="2" w:name="_Toc57025163"/>
            <w:bookmarkStart w:id="3" w:name="_Toc57024930"/>
            <w:bookmarkStart w:id="4" w:name="_Toc57022812"/>
            <w:bookmarkStart w:id="5" w:name="_Toc56765514"/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010000"/>
            <w:tcW w:w="6559" w:type="dxa"/>
            <w:gridSpan w:val="2"/>
            <w:tcBorders>
              <w:top w:val="single" w:color="auto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bookmarkStart w:id="6" w:name="_Toc62039379"/>
            <w:bookmarkStart w:id="7" w:name="_Toc57025164"/>
            <w:bookmarkStart w:id="8" w:name="_Toc57024931"/>
            <w:bookmarkStart w:id="9" w:name="_Toc57022813"/>
            <w:bookmarkStart w:id="10" w:name="_Toc56765515"/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rPr>
          <w:trHeight w:val="567"/>
        </w:trPr>
        <w:tc>
          <w:tcPr>
            <w:cnfStyle w:val="001000100000"/>
            <w:tcW w:w="3330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cnfStyle w:val="000010100000"/>
            <w:tcW w:w="1350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cnfStyle w:val="000001100000"/>
            <w:tcW w:w="5209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Лингвистика</w:t>
            </w:r>
          </w:p>
        </w:tc>
      </w:tr>
      <w:tr>
        <w:trPr>
          <w:trHeight w:val="567"/>
        </w:trPr>
        <w:tc>
          <w:tcPr>
            <w:cnfStyle w:val="001000010000"/>
            <w:tcW w:w="3330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cnfStyle w:val="000010010000"/>
            <w:tcW w:w="6559" w:type="dxa"/>
            <w:gridSpan w:val="2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Теория и практика межкультурной коммуникации</w:t>
            </w:r>
          </w:p>
        </w:tc>
      </w:tr>
      <w:tr>
        <w:trPr>
          <w:trHeight w:val="567"/>
        </w:trPr>
        <w:tc>
          <w:tcPr>
            <w:cnfStyle w:val="001000100000"/>
            <w:tcW w:w="3330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cnfStyle w:val="000010100000"/>
            <w:tcW w:w="6559" w:type="dxa"/>
            <w:gridSpan w:val="2"/>
            <w:vAlign w:val="center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sz w:val="24"/>
                <w:szCs w:val="24"/>
                <w:lang w:eastAsia="ru-RU"/>
              </w:rPr>
              <w:t>4 года</w:t>
            </w:r>
          </w:p>
        </w:tc>
      </w:tr>
      <w:tr>
        <w:trPr>
          <w:trHeight w:val="567"/>
        </w:trPr>
        <w:tc>
          <w:tcPr>
            <w:cnfStyle w:val="001000010000"/>
            <w:tcW w:w="3330" w:type="dxa"/>
            <w:vAlign w:val="bottom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cnfStyle w:val="000010010000"/>
            <w:tcW w:w="6559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>
      <w:pPr>
        <w:numPr>
          <w:ilvl w:val="3"/>
          <w:numId w:val="2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4"/>
          <w:szCs w:val="24"/>
        </w:rPr>
      </w:pPr>
    </w:p>
    <w:p>
      <w:pPr>
        <w:numPr>
          <w:ilvl w:val="3"/>
          <w:numId w:val="2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4"/>
          <w:szCs w:val="24"/>
        </w:rPr>
      </w:pPr>
      <w:r>
        <w:rPr>
          <w:rFonts w:ascii="Times New Roman" w:cs="Times New Roman" w:eastAsia="MS Mincho" w:hAnsi="Times New Roman"/>
          <w:i/>
          <w:sz w:val="24"/>
          <w:szCs w:val="24"/>
        </w:rPr>
        <w:t>Учебная дисциплина</w:t>
      </w:r>
      <w:r>
        <w:rPr>
          <w:rFonts w:ascii="Times New Roman" w:cs="Times New Roman" w:eastAsia="MS Mincho" w:hAnsi="Times New Roman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/>
          <w:sz w:val="24"/>
          <w:szCs w:val="24"/>
        </w:rPr>
        <w:t>«</w:t>
      </w:r>
      <w:r>
        <w:rPr>
          <w:rFonts w:ascii="Times New Roman" w:cs="Times New Roman" w:eastAsia="MS Mincho" w:hAnsi="Times New Roman"/>
          <w:i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еор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ия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межкультурной ком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петен</w:t>
      </w:r>
      <w:r>
        <w:rPr>
          <w:rFonts w:ascii="Times New Roman" w:cs="Times New Roman" w:eastAsia="Times New Roman" w:hAnsi="Times New Roman"/>
          <w:i/>
          <w:sz w:val="24"/>
          <w:szCs w:val="24"/>
        </w:rPr>
        <w:t>ции</w:t>
      </w:r>
      <w:r>
        <w:rPr>
          <w:rFonts w:ascii="Times New Roman" w:cs="Times New Roman" w:eastAsia="MS Mincho" w:hAnsi="Times New Roman"/>
          <w:i/>
          <w:sz w:val="24"/>
          <w:szCs w:val="24"/>
        </w:rPr>
        <w:t xml:space="preserve">» </w:t>
      </w:r>
      <w:r>
        <w:rPr>
          <w:rFonts w:ascii="Times New Roman" w:cs="Times New Roman" w:eastAsia="MS Mincho" w:hAnsi="Times New Roman"/>
          <w:sz w:val="24"/>
          <w:szCs w:val="24"/>
        </w:rPr>
        <w:t xml:space="preserve">изучается в </w:t>
      </w:r>
      <w:r>
        <w:rPr>
          <w:rFonts w:ascii="Times New Roman" w:cs="Times New Roman" w:eastAsia="MS Mincho" w:hAnsi="Times New Roman"/>
          <w:i/>
          <w:iCs/>
          <w:sz w:val="24"/>
          <w:szCs w:val="24"/>
        </w:rPr>
        <w:t>седьмом</w:t>
      </w:r>
      <w:r>
        <w:rPr>
          <w:rFonts w:ascii="Times New Roman" w:cs="Times New Roman" w:eastAsia="MS Mincho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/>
          <w:sz w:val="24"/>
          <w:szCs w:val="24"/>
        </w:rPr>
        <w:t>семестре.</w:t>
      </w:r>
    </w:p>
    <w:p>
      <w:pPr>
        <w:numPr>
          <w:ilvl w:val="3"/>
          <w:numId w:val="2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sz w:val="24"/>
          <w:szCs w:val="24"/>
        </w:rPr>
      </w:pPr>
      <w:r>
        <w:rPr>
          <w:rFonts w:ascii="Times New Roman" w:cs="Times New Roman" w:eastAsia="MS Mincho" w:hAnsi="Times New Roman"/>
          <w:i/>
          <w:sz w:val="24"/>
          <w:szCs w:val="24"/>
        </w:rPr>
        <w:t>Курсовая работа</w:t>
      </w:r>
      <w:r>
        <w:rPr>
          <w:rFonts w:ascii="Times New Roman" w:cs="Times New Roman" w:eastAsia="MS Mincho" w:hAnsi="Times New Roman"/>
          <w:sz w:val="24"/>
          <w:szCs w:val="24"/>
        </w:rPr>
        <w:t>–не предусмотрена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 xml:space="preserve">1.1 Форма промежуточной аттестации: 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4"/>
          <w:szCs w:val="24"/>
          <w:lang w:eastAsia="ru-RU"/>
        </w:rPr>
        <w:t xml:space="preserve">Седьмой семестр - экзамен 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 xml:space="preserve">1.2 Место </w:t>
      </w:r>
      <w:r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  <w:t>учебной дисциплины</w:t>
      </w: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 xml:space="preserve"> в структуре ОПОП</w:t>
      </w:r>
    </w:p>
    <w:p>
      <w:pPr>
        <w:numPr>
          <w:ilvl w:val="3"/>
          <w:numId w:val="2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</w:pP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Учебная дисциплина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/>
          <w:iCs/>
          <w:sz w:val="24"/>
          <w:szCs w:val="24"/>
        </w:rPr>
        <w:t>Т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еори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я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 xml:space="preserve"> межкультурной ком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петен</w:t>
      </w:r>
      <w:r>
        <w:rPr>
          <w:rFonts w:ascii="Times New Roman" w:cs="Times New Roman" w:eastAsia="Times New Roman" w:hAnsi="Times New Roman"/>
          <w:i/>
          <w:iCs/>
          <w:sz w:val="24"/>
          <w:szCs w:val="24"/>
        </w:rPr>
        <w:t>ции</w:t>
      </w:r>
      <w:r>
        <w:rPr>
          <w:rFonts w:ascii="Times New Roman" w:cs="Times New Roman" w:eastAsia="MS Mincho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о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тносится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к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части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 xml:space="preserve"> 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программы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, формируемой участниками образовательных отношений</w:t>
      </w:r>
      <w:r>
        <w:rPr>
          <w:rFonts w:ascii="Times New Roman" w:cs="Times New Roman" w:eastAsia="MS Mincho" w:hAnsi="Times New Roman"/>
          <w:i w:val="off"/>
          <w:iCs w:val="off"/>
          <w:sz w:val="24"/>
          <w:szCs w:val="24"/>
        </w:rPr>
        <w:t>.</w:t>
      </w:r>
    </w:p>
    <w:p>
      <w:pPr>
        <w:keepNext w:val="on"/>
        <w:spacing w:before="120" w:after="120" w:line="240" w:lineRule="auto"/>
        <w:ind w:left="709"/>
        <w:rPr>
          <w:rFonts w:ascii="Times New Roman" w:cs="Arial" w:eastAsia="Times New Roman" w:hAnsi="Times New Roman"/>
          <w:bCs/>
          <w:i/>
          <w:iCs/>
          <w:sz w:val="26"/>
          <w:szCs w:val="28"/>
          <w:lang w:eastAsia="ru-RU"/>
        </w:rPr>
      </w:pPr>
      <w:r>
        <w:rPr>
          <w:rFonts w:ascii="Times New Roman" w:cs="Arial" w:eastAsia="Times New Roman" w:hAnsi="Times New Roman"/>
          <w:bCs/>
          <w:iCs/>
          <w:sz w:val="26"/>
          <w:szCs w:val="28"/>
          <w:lang w:eastAsia="ru-RU"/>
        </w:rPr>
        <w:t xml:space="preserve">1.3 Цели и планируемые результаты обучения по дисциплине 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Целями изучения 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дисциплины Теория межкультурной компетенции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являются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4"/>
          <w:szCs w:val="24"/>
          <w:lang w:eastAsia="ru-RU"/>
        </w:rPr>
      </w:pP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>-</w:t>
      </w: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 xml:space="preserve"> освоение понятий  теории межкультурной коммуникации, </w:t>
      </w:r>
      <w:r>
        <w:rPr>
          <w:rFonts w:ascii="Times New Roman" w:cs="Times New Roman" w:eastAsia="Times New Roman" w:hAnsi="Times New Roman"/>
          <w:bCs/>
          <w:color w:val="000000"/>
          <w:spacing w:val="4"/>
          <w:lang w:eastAsia="ru-RU"/>
        </w:rPr>
        <w:t>составляющих основу теоретической и</w:t>
      </w:r>
      <w:r>
        <w:rPr>
          <w:rFonts w:ascii="Times New Roman" w:cs="Times New Roman" w:eastAsia="Times New Roman" w:hAnsi="Times New Roman"/>
          <w:color w:val="000000"/>
          <w:spacing w:val="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pacing w:val="4"/>
          <w:lang w:eastAsia="ru-RU"/>
        </w:rPr>
        <w:t xml:space="preserve">практической профессиональной </w:t>
      </w: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 xml:space="preserve">подготовки; </w:t>
      </w: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 xml:space="preserve">восприятие понятия культуры, межкультурного общения как особого типа коммуникации; </w:t>
      </w: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 xml:space="preserve">основных принципов выстраивания диалога культур; способов и путей расширения представлений об иных культурах и методах межкультурной коммуникации; 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pacing w:val="-2"/>
          <w:lang w:eastAsia="ru-RU"/>
        </w:rPr>
        <w:t xml:space="preserve">- понимание особенностей функционирования межкультурной коммуникации,  специфических </w:t>
      </w: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 xml:space="preserve">особенностей организации и функционирования коммуникативного акта с учетом </w:t>
      </w: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>факторов, влияющих на общение</w:t>
      </w: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 xml:space="preserve">; 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>- формирование представления о</w:t>
      </w: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 xml:space="preserve"> языковой, национальной и культурной идентичности и их взаимосвязи с актом общения; о понятии межкультурной компетенции, видах компетенций; 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Times New Roman" w:hAnsi="Times New Roman"/>
          <w:bCs/>
          <w:color w:val="000000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pacing w:val="3"/>
          <w:lang w:eastAsia="ru-RU"/>
        </w:rPr>
        <w:t xml:space="preserve">- понимание </w:t>
      </w:r>
      <w:r>
        <w:rPr>
          <w:rFonts w:ascii="Times New Roman" w:cs="Times New Roman" w:eastAsia="Times New Roman" w:hAnsi="Times New Roman"/>
          <w:bCs/>
          <w:color w:val="000000"/>
          <w:spacing w:val="6"/>
          <w:lang w:eastAsia="ru-RU"/>
        </w:rPr>
        <w:t xml:space="preserve">особенностей  языковых средств, используемых в разных типах дискурса </w:t>
      </w:r>
      <w:r>
        <w:rPr>
          <w:rFonts w:ascii="Times New Roman" w:cs="Times New Roman" w:eastAsia="Times New Roman" w:hAnsi="Times New Roman"/>
          <w:bCs/>
          <w:color w:val="000000"/>
          <w:lang w:eastAsia="ru-RU"/>
        </w:rPr>
        <w:t>для достижения определенных коммуникативных задач;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lang w:eastAsia="ru-RU"/>
        </w:rPr>
        <w:t xml:space="preserve">- формирование навыка </w:t>
      </w:r>
      <w:r>
        <w:rPr>
          <w:rFonts w:ascii="Times New Roman" w:cs="Times New Roman" w:eastAsia="MS Mincho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cs="Times New Roman" w:eastAsia="MS Mincho" w:hAnsi="Times New Roman"/>
          <w:color w:val="000000"/>
          <w:lang w:eastAsia="ru-RU"/>
        </w:rPr>
        <w:t xml:space="preserve">применять   полученные   теоретические   знания   на   практике   в процессе межкультурной коммуникации; работать с научной литературой;  </w:t>
      </w:r>
      <w:r>
        <w:rPr>
          <w:rFonts w:ascii="Times New Roman" w:cs="Times New Roman" w:eastAsia="MS Mincho" w:hAnsi="Times New Roman"/>
          <w:color w:val="000000"/>
          <w:lang w:eastAsia="ru-RU"/>
        </w:rPr>
        <w:t xml:space="preserve"> </w:t>
      </w:r>
      <w:r>
        <w:rPr>
          <w:rFonts w:ascii="Times New Roman" w:cs="Times New Roman" w:eastAsia="MS Mincho" w:hAnsi="Times New Roman"/>
          <w:color w:val="000000"/>
          <w:spacing w:val="2"/>
          <w:lang w:eastAsia="ru-RU"/>
        </w:rPr>
        <w:t xml:space="preserve">на основе полученных знаний самостоятельно ставить исследовательские </w:t>
      </w:r>
      <w:r>
        <w:rPr>
          <w:rFonts w:ascii="Times New Roman" w:cs="Times New Roman" w:eastAsia="MS Mincho" w:hAnsi="Times New Roman"/>
          <w:color w:val="000000"/>
          <w:spacing w:val="-1"/>
          <w:lang w:eastAsia="ru-RU"/>
        </w:rPr>
        <w:t>задачи и находить адекватные методы их решения</w:t>
      </w:r>
    </w:p>
    <w:p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cs="Times New Roman" w:eastAsia="MS Mincho" w:hAnsi="Times New Roman"/>
          <w:lang w:eastAsia="ru-RU"/>
        </w:rPr>
      </w:pPr>
    </w:p>
    <w:p>
      <w:pPr>
        <w:tabs>
          <w:tab w:val="left" w:pos="708"/>
        </w:tabs>
        <w:spacing w:after="0" w:line="240" w:lineRule="auto"/>
        <w:ind w:firstLine="770"/>
        <w:jc w:val="both"/>
        <w:rPr>
          <w:rFonts w:ascii="Times New Roman" w:cs="Times New Roman" w:eastAsia="MS Mincho" w:hAnsi="Times New Roman"/>
          <w:lang w:eastAsia="ru-RU"/>
        </w:rPr>
      </w:pPr>
      <w:r>
        <w:rPr>
          <w:rFonts w:ascii="Times New Roman" w:cs="Times New Roman" w:eastAsia="MS Mincho" w:hAnsi="Times New Roman"/>
          <w:lang w:eastAsia="ru-RU"/>
        </w:rPr>
        <w:t xml:space="preserve">Результатом обучения по </w:t>
      </w:r>
      <w:r>
        <w:rPr>
          <w:rFonts w:ascii="Times New Roman" w:cs="Times New Roman" w:eastAsia="MS Mincho" w:hAnsi="Times New Roman"/>
          <w:i/>
          <w:lang w:eastAsia="ru-RU"/>
        </w:rPr>
        <w:t>дисциплине</w:t>
      </w:r>
      <w:r>
        <w:rPr>
          <w:rFonts w:ascii="Times New Roman" w:cs="Times New Roman" w:eastAsia="MS Mincho" w:hAnsi="Times New Roman"/>
          <w:lang w:eastAsia="ru-RU"/>
        </w:rPr>
        <w:t xml:space="preserve"> является овладение обучающимися знаниями, умениями, навыками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rFonts w:ascii="Times New Roman" w:cs="Times New Roman" w:eastAsia="MS Mincho" w:hAnsi="Times New Roman"/>
          <w:i/>
          <w:lang w:eastAsia="ru-RU"/>
        </w:rPr>
        <w:t>дисциплины</w:t>
      </w:r>
      <w:r>
        <w:rPr>
          <w:rFonts w:ascii="Times New Roman" w:cs="Times New Roman" w:eastAsia="MS Mincho" w:hAnsi="Times New Roman"/>
          <w:lang w:eastAsia="ru-RU"/>
        </w:rPr>
        <w:t>.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sz w:val="24"/>
          <w:szCs w:val="24"/>
          <w:lang w:eastAsia="ru-RU"/>
        </w:rPr>
      </w:pPr>
      <w:r>
        <w:rPr>
          <w:rFonts w:ascii="Times New Roman" w:cs="Times New Roman" w:eastAsia="MS Mincho" w:hAnsi="Times New Roman"/>
          <w:color w:val="333333"/>
          <w:sz w:val="24"/>
          <w:szCs w:val="24"/>
          <w:lang w:eastAsia="ru-RU"/>
        </w:rPr>
        <w:t>Дисциплина читается на русском языке.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sz w:val="24"/>
          <w:szCs w:val="24"/>
          <w:lang w:eastAsia="ru-RU"/>
        </w:rPr>
      </w:pP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b w:val="off"/>
          <w:bCs w:val="off"/>
          <w:sz w:val="24"/>
          <w:szCs w:val="24"/>
          <w:lang w:eastAsia="ru-RU"/>
        </w:rPr>
      </w:pPr>
      <w:r>
        <w:rPr>
          <w:rFonts w:ascii="Times New Roman" w:cs="Times New Roman" w:eastAsia="MS Mincho" w:hAnsi="Times New Roman"/>
          <w:b w:val="off"/>
          <w:bCs w:val="off"/>
          <w:sz w:val="24"/>
          <w:szCs w:val="24"/>
          <w:lang w:eastAsia="ru-RU"/>
        </w:rPr>
        <w:t>1) Формируемые компетенции и индикаторы достижения компетенций:</w:t>
      </w:r>
    </w:p>
    <w:tbl>
      <w:tblPr>
        <w:tblW w:w="9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/>
      </w:tblPr>
      <w:tblGrid>
        <w:gridCol w:w="1951"/>
        <w:gridCol w:w="2358"/>
        <w:gridCol w:w="5528"/>
      </w:tblGrid>
      <w:tr>
        <w:trPr>
          <w:tblHeader w:val="on"/>
        </w:trPr>
        <w:tc>
          <w:tcPr>
            <w:cnfStyle w:val="101000000000"/>
            <w:tcW w:w="1951" w:type="dxa"/>
            <w:shd w:val="clear" w:color="auto" w:fill="dbe5f1"/>
            <w:vAlign w:val="center"/>
          </w:tcPr>
          <w:p>
            <w:pPr>
              <w:spacing w:before="100" w:after="100" w:line="240" w:lineRule="auto"/>
              <w:jc w:val="center"/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cnfStyle w:val="100010000000"/>
            <w:tcW w:w="2358" w:type="dxa"/>
            <w:shd w:val="clear" w:color="auto" w:fill="dbe5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b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i/>
                <w:iCs/>
                <w:color w:val="000000"/>
                <w:sz w:val="22"/>
                <w:szCs w:val="22"/>
                <w:lang w:eastAsia="ru-RU"/>
              </w:rPr>
              <w:t>Код и наименование индикатора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b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i/>
                <w:iCs/>
                <w:color w:val="000000"/>
                <w:sz w:val="22"/>
                <w:szCs w:val="22"/>
                <w:lang w:eastAsia="ru-RU"/>
              </w:rPr>
              <w:t>достижения компетенции</w:t>
            </w:r>
          </w:p>
        </w:tc>
        <w:tc>
          <w:tcPr>
            <w:cnfStyle w:val="100001000000"/>
            <w:tcW w:w="5528" w:type="dxa"/>
            <w:shd w:val="clear" w:color="auto" w:fill="dbe5f1"/>
            <w:vAlign w:val="center"/>
          </w:tcPr>
          <w:p>
            <w:pPr>
              <w:spacing w:after="0" w:line="240" w:lineRule="auto"/>
              <w:ind w:left="34"/>
              <w:jc w:val="center"/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  <w:t xml:space="preserve">Планируемые результаты обучения </w:t>
            </w:r>
          </w:p>
          <w:p>
            <w:pPr>
              <w:spacing w:after="0" w:line="240" w:lineRule="auto"/>
              <w:ind w:left="34"/>
              <w:jc w:val="center"/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  <w:t xml:space="preserve">по </w:t>
            </w:r>
            <w:r>
              <w:rPr>
                <w:rFonts w:ascii="Times New Roman" w:cs="Times New Roman" w:eastAsia="Times New Roman" w:hAnsi="Times New Roman"/>
                <w:b/>
                <w:i/>
                <w:iCs/>
                <w:sz w:val="22"/>
                <w:szCs w:val="22"/>
                <w:lang w:eastAsia="ru-RU"/>
              </w:rPr>
              <w:t>дисциплине</w:t>
            </w:r>
          </w:p>
        </w:tc>
      </w:tr>
      <w:tr>
        <w:trPr>
          <w:trHeight w:val="283"/>
        </w:trPr>
        <w:tc>
          <w:tcPr>
            <w:cnfStyle w:val="001000100000"/>
            <w:tcW w:w="1951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ПК-3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Способен применить знание  норм этикета в различных ситуациях межкультурного общения и моделировать возможные ситуации общения между представителями различных культур и социумов</w:t>
            </w:r>
          </w:p>
        </w:tc>
        <w:tc>
          <w:tcPr>
            <w:cnfStyle w:val="000010100000"/>
            <w:tcW w:w="2358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ИД-ОПК-3.2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Идентификация культурного своеобразия различных групп и индивидов, с  учетом историко-культурных особенностей в процессе повседневного и профессионального общения</w:t>
            </w:r>
          </w:p>
        </w:tc>
        <w:tc>
          <w:tcPr>
            <w:cnfStyle w:val="000001100000"/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  <w:t>Знает основные модели социальных коммуникативных ситуаций, владеет навыками социо- и межкультурной коммуникации; способен ориентироваться в системе ценностных установок и ценностно-смысловых ориентаций различных социальных, профессиональных, национальных, религиозных и иных групп в социуме; способен понять этические нормы и нормы поведения и руководствоваться ими с учетом принципа культурного релятивизма; готов преодолевать влияние стереотипов и осуществлять межкультурный диалог в профессиональной и общей сферах общения</w:t>
            </w:r>
          </w:p>
        </w:tc>
      </w:tr>
      <w:tr>
        <w:trPr>
          <w:trHeight w:val="283"/>
        </w:trPr>
        <w:tc>
          <w:tcPr>
            <w:cnfStyle w:val="001000010000"/>
            <w:tcW w:w="1951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ПК-5</w:t>
            </w:r>
          </w:p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 xml:space="preserve">Способен использовать понятийный аппарат философии, теории языка и переводоведения, теории межкультурной коммуникации и </w:t>
            </w: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лингвопрагматики</w:t>
            </w: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 xml:space="preserve"> для решения профессиональных задач</w:t>
            </w:r>
          </w:p>
        </w:tc>
        <w:tc>
          <w:tcPr>
            <w:cnfStyle w:val="000010010000"/>
            <w:tcW w:w="2358" w:type="dxa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color w:val="000000"/>
                <w:sz w:val="22"/>
                <w:szCs w:val="22"/>
                <w:lang w:eastAsia="ru-RU"/>
              </w:rPr>
              <w:t>ИД-ПК-5.3</w:t>
            </w:r>
          </w:p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  <w:t>Использование различных системных компонентов межкультурной коммуникации для успешного взаимодействия</w:t>
            </w:r>
          </w:p>
        </w:tc>
        <w:tc>
          <w:tcPr>
            <w:cnfStyle w:val="000001010000"/>
            <w:tcW w:w="5528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  <w:t xml:space="preserve">Владеет системой знаний, необходимой для успешной межкультурной коммуникации, с учетом особенностей различных </w:t>
            </w:r>
            <w:r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  <w:t>лингвокультур</w:t>
            </w:r>
            <w:r>
              <w:rPr>
                <w:rFonts w:ascii="Times New Roman" w:cs="Times New Roman" w:eastAsia="MS Mincho" w:hAnsi="Times New Roman"/>
                <w:i/>
                <w:iCs/>
                <w:sz w:val="22"/>
                <w:szCs w:val="22"/>
                <w:lang w:eastAsia="ru-RU"/>
              </w:rPr>
              <w:t>; способен использовать   понятийный   аппарат   философии,   теоретической   и   прикладной лингвистики, переводоведения, лингводидактики и  теории  межкультурной  коммуникации  для  решения профессиональных задач</w:t>
            </w:r>
          </w:p>
        </w:tc>
      </w:tr>
    </w:tbl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sz w:val="24"/>
          <w:szCs w:val="24"/>
          <w:lang w:eastAsia="ru-RU"/>
        </w:rPr>
      </w:pP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0"/>
          <w:szCs w:val="20"/>
          <w:lang w:eastAsia="ru-RU"/>
        </w:rPr>
      </w:pPr>
      <w:r>
        <w:rPr>
          <w:rFonts w:ascii="Times New Roman" w:cs="Times New Roman" w:eastAsia="MS Mincho" w:hAnsi="Times New Roman"/>
          <w:sz w:val="24"/>
          <w:szCs w:val="24"/>
          <w:lang w:eastAsia="ru-RU"/>
        </w:rPr>
        <w:t>2) Общая трудоёмкость учебной дисциплины по учебному плану составляет:</w:t>
      </w:r>
    </w:p>
    <w:p>
      <w:pPr>
        <w:numPr>
          <w:ilvl w:val="3"/>
          <w:numId w:val="4"/>
        </w:num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0"/>
          <w:szCs w:val="20"/>
          <w:lang w:eastAsia="ru-RU"/>
        </w:rPr>
      </w:pPr>
    </w:p>
    <w:tbl>
      <w:tblPr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>
        <w:trPr>
          <w:trHeight w:val="340"/>
        </w:trPr>
        <w:tc>
          <w:tcPr>
            <w:cnfStyle w:val="101000000000"/>
            <w:tcW w:w="3969" w:type="dxa"/>
            <w:vAlign w:val="center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lang w:eastAsia="ru-RU"/>
              </w:rPr>
            </w:pPr>
            <w:r>
              <w:rPr>
                <w:rFonts w:ascii="Times New Roman" w:cs="Times New Roman" w:eastAsia="MS Mincho" w:hAnsi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cnfStyle w:val="100010000000"/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i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lang w:eastAsia="ru-RU"/>
              </w:rPr>
              <w:t>3</w:t>
            </w:r>
          </w:p>
        </w:tc>
        <w:tc>
          <w:tcPr>
            <w:cnfStyle w:val="100001000000"/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sz w:val="24"/>
                <w:szCs w:val="24"/>
                <w:lang w:eastAsia="ru-RU"/>
              </w:rPr>
              <w:t>з.е</w:t>
            </w:r>
            <w:r>
              <w:rPr>
                <w:rFonts w:ascii="Times New Roman" w:cs="Times New Roman" w:eastAsia="MS Mincho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100010000000"/>
            <w:tcW w:w="10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cs="Times New Roman" w:eastAsia="MS Mincho" w:hAnsi="Times New Roman"/>
                <w:i/>
                <w:lang w:eastAsia="ru-RU"/>
              </w:rPr>
            </w:pPr>
            <w:r>
              <w:rPr>
                <w:rFonts w:ascii="Times New Roman" w:cs="Times New Roman" w:eastAsia="MS Mincho" w:hAnsi="Times New Roman"/>
                <w:i/>
                <w:lang w:eastAsia="ru-RU"/>
              </w:rPr>
              <w:t>144</w:t>
            </w:r>
          </w:p>
        </w:tc>
        <w:tc>
          <w:tcPr>
            <w:cnfStyle w:val="100001000000"/>
            <w:tcW w:w="937" w:type="dxa"/>
            <w:vAlign w:val="center"/>
          </w:tcPr>
          <w:p>
            <w:pPr>
              <w:spacing w:after="0" w:line="240" w:lineRule="auto"/>
              <w:rPr>
                <w:rFonts w:ascii="Times New Roman" w:cs="Times New Roman" w:eastAsia="MS Mincho" w:hAnsi="Times New Roman"/>
                <w:i/>
                <w:lang w:eastAsia="ru-RU"/>
              </w:rPr>
            </w:pPr>
            <w:r>
              <w:rPr>
                <w:rFonts w:ascii="Times New Roman" w:cs="Times New Roman" w:eastAsia="MS Mincho" w:hAnsi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cs="Times New Roman" w:eastAsia="MS Mincho" w:hAnsi="Times New Roman"/>
          <w:lang w:eastAsia="ru-RU"/>
        </w:rPr>
      </w:pPr>
    </w:p>
    <w:p>
      <w:pPr>
        <w:spacing w:after="0" w:line="240" w:lineRule="auto"/>
        <w:contextualSpacing w:val="on"/>
        <w:jc w:val="both"/>
        <w:rPr>
          <w:rFonts w:ascii="Times New Roman" w:cs="Times New Roman" w:eastAsia="MS Mincho" w:hAnsi="Times New Roman"/>
          <w:i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pStyle w:val="Heading1"/>
      <w:lvlText w:val="%1."/>
      <w:lvlJc w:val="left"/>
      <w:pPr>
        <w:ind w:left="710" w:firstLine="0"/>
      </w:pPr>
      <w:rPr>
        <w:rFonts w:cs="Times New Roman"/>
        <w:b/>
        <w:i w:val="off"/>
        <w:color w:val="auto"/>
      </w:rPr>
    </w:lvl>
    <w:lvl w:ilvl="1" w:tentative="0">
      <w:start w:val="1"/>
      <w:numFmt w:val="decimal"/>
      <w:pStyle w:val="Heading2"/>
      <w:lvlText w:val="%1.%2."/>
      <w:lvlJc w:val="left"/>
      <w:pPr>
        <w:ind w:left="709" w:firstLine="0"/>
      </w:pPr>
      <w:rPr>
        <w:rFonts w:cs="Times New Roman"/>
        <w:b w:val="off"/>
        <w:i w:val="off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off"/>
        <w:i w:val="off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multiLevelType w:val="hybridMultilevel"/>
    <w:lvl w:ilvl="0" w:tentative="0">
      <w:start w:val="1"/>
      <w:numFmt w:val="decimal"/>
      <w:pStyle w:val="BodyText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710" w:firstLine="0"/>
      </w:pPr>
      <w:rPr>
        <w:rFonts w:cs="Times New Roman"/>
        <w:b w:val="off"/>
        <w:i w:val="off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cs="Times New Roman"/>
        <w:b w:val="off"/>
        <w:i w:val="off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off"/>
        <w:i w:val="off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cs="Times New Roman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cs="Times New Roman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C1"/>
    <w:rsid w:val="00933EC1"/>
    <w:rsid w:val="00E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8A0C"/>
  <w15:chartTrackingRefBased/>
  <w15:docId w15:val="{3914C4E5-FAB1-4163-8173-1C92B952C14D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numPr>
        <w:ilvl w:val="0"/>
        <w:numId w:val="1"/>
      </w:numPr>
      <w:spacing w:before="240" w:after="240" w:line="240" w:lineRule="auto"/>
    </w:pPr>
    <w:rPr>
      <w:rFonts w:ascii="Times New Roman" w:cs="Times New Roman" w:eastAsia="Times New Roman" w:hAnsi="Times New Roman"/>
      <w:b/>
      <w:bCs/>
      <w:sz w:val="24"/>
      <w:szCs w:val="32"/>
      <w:lang w:eastAsia="ru-RU"/>
    </w:rPr>
  </w:style>
  <w:style w:type="paragraph" w:styleId="Heading2">
    <w:name w:val="Heading 2"/>
    <w:basedOn w:val="Normal"/>
    <w:next w:val="Normal"/>
    <w:link w:val="Заголовок2Знак"/>
    <w:uiPriority w:val="99"/>
    <w:semiHidden w:val="on"/>
    <w:unhideWhenUsed w:val="on"/>
    <w:qFormat w:val="on"/>
    <w:pPr>
      <w:keepNext w:val="on"/>
      <w:numPr>
        <w:ilvl w:val="1"/>
        <w:numId w:val="1"/>
      </w:numPr>
      <w:spacing w:before="120" w:after="120" w:line="240" w:lineRule="auto"/>
    </w:pPr>
    <w:rPr>
      <w:rFonts w:ascii="Times New Roman" w:cs="Arial" w:eastAsia="Times New Roman" w:hAnsi="Times New Roman"/>
      <w:bCs/>
      <w:iCs/>
      <w:sz w:val="26"/>
      <w:szCs w:val="2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b/>
      <w:bCs/>
      <w:sz w:val="24"/>
      <w:szCs w:val="32"/>
      <w:lang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semiHidden w:val="on"/>
    <w:rPr>
      <w:rFonts w:ascii="Times New Roman" w:cs="Arial" w:eastAsia="Times New Roman" w:hAnsi="Times New Roman"/>
      <w:bCs/>
      <w:iCs/>
      <w:sz w:val="26"/>
      <w:szCs w:val="28"/>
      <w:lang w:eastAsia="ru-RU"/>
    </w:rPr>
  </w:style>
  <w:style w:type="paragraph" w:styleId="BodyText">
    <w:name w:val="Body Text"/>
    <w:basedOn w:val="Normal"/>
    <w:link w:val="ОсновнойтекстЗнак"/>
    <w:uiPriority w:val="99"/>
    <w:pPr>
      <w:numPr>
        <w:ilvl w:val="0"/>
        <w:numId w:val="3"/>
      </w:num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Vladi</dc:creator>
  <cp:lastModifiedBy>Nella Vladi</cp:lastModifiedBy>
</cp:coreProperties>
</file>