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CC79DF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C79DF">
        <w:rPr>
          <w:rFonts w:ascii="Times New Roman" w:hAnsi="Times New Roman" w:cs="Times New Roman"/>
          <w:b/>
          <w:bCs/>
          <w:sz w:val="24"/>
        </w:rPr>
        <w:t>«ЗАРУБЕЖНОЕ ИСКУССТВО НОВОГО ВРЕМЕНИ</w:t>
      </w:r>
      <w:r w:rsidR="002F45F1"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9C447F">
        <w:rPr>
          <w:rFonts w:ascii="Times New Roman" w:hAnsi="Times New Roman" w:cs="Times New Roman"/>
          <w:b/>
          <w:sz w:val="24"/>
        </w:rPr>
        <w:t>к.п.н</w:t>
      </w:r>
      <w:proofErr w:type="spellEnd"/>
      <w:r w:rsidR="009C447F">
        <w:rPr>
          <w:rFonts w:ascii="Times New Roman" w:hAnsi="Times New Roman" w:cs="Times New Roman"/>
          <w:b/>
          <w:sz w:val="24"/>
        </w:rPr>
        <w:t xml:space="preserve">.,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9C447F">
        <w:rPr>
          <w:rFonts w:ascii="Times New Roman" w:hAnsi="Times New Roman" w:cs="Times New Roman"/>
          <w:b/>
          <w:sz w:val="24"/>
        </w:rPr>
        <w:t>Арефьева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 w:rsidR="009C447F">
        <w:rPr>
          <w:rFonts w:ascii="Times New Roman" w:hAnsi="Times New Roman" w:cs="Times New Roman"/>
          <w:b/>
          <w:sz w:val="24"/>
        </w:rPr>
        <w:t>М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, 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,6,7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9A05F2">
        <w:trPr>
          <w:trHeight w:val="289"/>
        </w:trPr>
        <w:tc>
          <w:tcPr>
            <w:tcW w:w="5274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733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CC79DF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="002F45F1"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2F45F1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/3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/3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CC79DF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21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1/33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CC79DF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0/36/27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CC79DF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72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CC79DF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CC79DF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Зачет/Экзамен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CC79DF" w:rsidRPr="00CC79DF" w:rsidRDefault="00CC79DF" w:rsidP="00CC79D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9DF">
        <w:rPr>
          <w:rFonts w:ascii="Times New Roman" w:eastAsia="Calibri" w:hAnsi="Times New Roman" w:cs="Times New Roman"/>
          <w:sz w:val="24"/>
          <w:szCs w:val="28"/>
        </w:rPr>
        <w:t>Целью изучения дисциплины «Зарубежное искусство Нового времени» являются: подготовка обучающихся к самостоятельной профессиональной деятельности в области культуры и искусства; знакомство их с закономерностями возникновения и развития национальных и мировых стилей, художественных направлений, с сущностью произведений мирового искусства, значением искусства как культурного феномена в современном мире.</w:t>
      </w:r>
    </w:p>
    <w:p w:rsidR="00CC79DF" w:rsidRPr="00CC79DF" w:rsidRDefault="00CC79DF" w:rsidP="00CC79D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9DF">
        <w:rPr>
          <w:rFonts w:ascii="Times New Roman" w:eastAsia="Calibri" w:hAnsi="Times New Roman" w:cs="Times New Roman"/>
          <w:sz w:val="24"/>
          <w:szCs w:val="28"/>
        </w:rPr>
        <w:t xml:space="preserve">Задачами дисциплины выступают: </w:t>
      </w:r>
    </w:p>
    <w:p w:rsidR="00CC79DF" w:rsidRPr="00CC79DF" w:rsidRDefault="00CC79DF" w:rsidP="00CC79D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9DF">
        <w:rPr>
          <w:rFonts w:ascii="Times New Roman" w:eastAsia="Calibri" w:hAnsi="Times New Roman" w:cs="Times New Roman"/>
          <w:sz w:val="24"/>
          <w:szCs w:val="28"/>
        </w:rPr>
        <w:t>- приобщение к общим тенденциям развития архитектурных и художественных школ, изучение основных ансамблей и отдельных произведений;</w:t>
      </w:r>
    </w:p>
    <w:p w:rsidR="00CC79DF" w:rsidRPr="00CC79DF" w:rsidRDefault="00CC79DF" w:rsidP="00CC79D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9DF">
        <w:rPr>
          <w:rFonts w:ascii="Times New Roman" w:eastAsia="Calibri" w:hAnsi="Times New Roman" w:cs="Times New Roman"/>
          <w:sz w:val="24"/>
          <w:szCs w:val="28"/>
        </w:rPr>
        <w:t xml:space="preserve">- знакомство с основами художественного языка; </w:t>
      </w:r>
    </w:p>
    <w:p w:rsidR="00CC79DF" w:rsidRPr="00CC79DF" w:rsidRDefault="00CC79DF" w:rsidP="00CC79D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9DF">
        <w:rPr>
          <w:rFonts w:ascii="Times New Roman" w:eastAsia="Calibri" w:hAnsi="Times New Roman" w:cs="Times New Roman"/>
          <w:sz w:val="24"/>
          <w:szCs w:val="28"/>
        </w:rPr>
        <w:t>- обучение анализу, оцениванию, описанию различных художественных явлений и конкретных произведений;</w:t>
      </w:r>
    </w:p>
    <w:p w:rsidR="00CC79DF" w:rsidRPr="00CC79DF" w:rsidRDefault="00CC79DF" w:rsidP="00CC79D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9DF">
        <w:rPr>
          <w:rFonts w:ascii="Times New Roman" w:eastAsia="Calibri" w:hAnsi="Times New Roman" w:cs="Times New Roman"/>
          <w:sz w:val="24"/>
          <w:szCs w:val="28"/>
        </w:rPr>
        <w:t xml:space="preserve">- оформлению результатов исследования в виде заметок, тезисов, статей, каталогов; </w:t>
      </w:r>
    </w:p>
    <w:p w:rsidR="00AA2EFE" w:rsidRDefault="00CC79DF" w:rsidP="00CC79D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9DF">
        <w:rPr>
          <w:rFonts w:ascii="Times New Roman" w:eastAsia="Calibri" w:hAnsi="Times New Roman" w:cs="Times New Roman"/>
          <w:sz w:val="24"/>
          <w:szCs w:val="28"/>
        </w:rPr>
        <w:t>- подготовки бесед по искусству, текстов лекций, экскурсий и других форм учебной работы.</w:t>
      </w:r>
    </w:p>
    <w:p w:rsidR="00CC79DF" w:rsidRPr="00D35C97" w:rsidRDefault="00CC79DF" w:rsidP="00CC79DF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 xml:space="preserve">Дисциплина «Зарубежное искусство Нового времени»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История кино;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lastRenderedPageBreak/>
        <w:tab/>
        <w:t xml:space="preserve">-История </w:t>
      </w:r>
      <w:proofErr w:type="spellStart"/>
      <w:r w:rsidRPr="00CC79DF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CC79DF">
        <w:rPr>
          <w:rFonts w:ascii="Times New Roman" w:hAnsi="Times New Roman" w:cs="Times New Roman"/>
          <w:sz w:val="24"/>
        </w:rPr>
        <w:t xml:space="preserve"> искусства;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История театра;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CC79DF" w:rsidRP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CC79DF" w:rsidRDefault="00CC79DF" w:rsidP="00CC79D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C79DF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DA0530" w:rsidRPr="00D35C97" w:rsidRDefault="00DA0530" w:rsidP="00CC79DF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AA2EFE">
        <w:rPr>
          <w:rFonts w:ascii="Times New Roman" w:hAnsi="Times New Roman" w:cs="Times New Roman"/>
          <w:b/>
          <w:bCs/>
          <w:sz w:val="24"/>
        </w:rPr>
        <w:t>История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AA2EFE">
        <w:rPr>
          <w:rFonts w:ascii="Times New Roman" w:hAnsi="Times New Roman" w:cs="Times New Roman"/>
          <w:b/>
          <w:bCs/>
          <w:sz w:val="24"/>
        </w:rPr>
        <w:t>История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660"/>
      </w:tblGrid>
      <w:tr w:rsidR="002F45F1" w:rsidRPr="00252142" w:rsidTr="00CC79DF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CC79DF" w:rsidRPr="00252142" w:rsidTr="00CC79DF">
        <w:trPr>
          <w:trHeight w:val="3970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F426D3" w:rsidRDefault="00CC79DF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F426D3" w:rsidRDefault="00CC79DF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одит</w:t>
            </w:r>
            <w:r w:rsidRPr="007A12A4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7A12A4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7A12A4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CC79DF" w:rsidRPr="00252142" w:rsidTr="00CC79DF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A278F9" w:rsidRDefault="00CC79DF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CC79DF" w:rsidRPr="000563DF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Default="00CC79DF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A12A4">
              <w:rPr>
                <w:rFonts w:ascii="Times New Roman" w:hAnsi="Times New Roman"/>
                <w:b/>
                <w:sz w:val="24"/>
              </w:rPr>
              <w:t>ИД-ПК-2.2</w:t>
            </w:r>
          </w:p>
          <w:p w:rsidR="00CC79DF" w:rsidRPr="00A476CC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0563DF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476CC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476CC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CC79DF" w:rsidRPr="00FC1D49" w:rsidTr="00CC79DF">
        <w:tblPrEx>
          <w:shd w:val="clear" w:color="auto" w:fill="auto"/>
        </w:tblPrEx>
        <w:trPr>
          <w:trHeight w:val="1357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813145" w:rsidRDefault="00CC79DF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>ПК-2.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945343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45343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945343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 публичные</w:t>
            </w:r>
            <w:r w:rsidRPr="00945343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CC79DF">
        <w:rPr>
          <w:rFonts w:ascii="Times New Roman" w:hAnsi="Times New Roman" w:cs="Times New Roman"/>
          <w:bCs/>
          <w:sz w:val="24"/>
          <w:u w:val="single"/>
        </w:rPr>
        <w:t>Раздел I. Западноевропейское искусство XVII в.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1.1. Историко-художественная периодизация, специфика художественного процесса XVII в.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1.2. Специфика искусства Италии XVII века.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1.3. Живопись барокко XVII в.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1.4. Художественная теория и практика классицизма XVII в.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1.5. Искусство Испании XVII века.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1.6. Искусство Нидерландов XVII века.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CC79DF">
        <w:rPr>
          <w:rFonts w:ascii="Times New Roman" w:hAnsi="Times New Roman" w:cs="Times New Roman"/>
          <w:bCs/>
          <w:sz w:val="24"/>
          <w:u w:val="single"/>
        </w:rPr>
        <w:lastRenderedPageBreak/>
        <w:t>Раздел II. Западноевропейское искусство XVIII века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2.1. Особенности развития искусства XVIII столетия их стилистическое своеобразие.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2.2. Искусство Италии XVIII века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2.3. Особенности культуры и искусства Франции XVIII века, их противоречивый характер.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2.4. Мастера французского искусства.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2.5. Тенденции английской художественной культуры XVIII века и ее основные достижения.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2.6. Специфика искусства Австрии и Германии.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2.7. Искусство Испании XVIII века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CC79DF">
        <w:rPr>
          <w:rFonts w:ascii="Times New Roman" w:hAnsi="Times New Roman" w:cs="Times New Roman"/>
          <w:bCs/>
          <w:sz w:val="24"/>
          <w:u w:val="single"/>
        </w:rPr>
        <w:t>Раздел III. Искусство Западной Европы XIX века.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3.1. Искусство Западной Европы на рубеже XVIII-XIX вв.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3.2. Классицизм Западной Европы первой пол. XIX в.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 xml:space="preserve">Тема 3.3. Романтизм в Западноевропейском искусстве. 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3.4. Искусство Западной Европы второй пол. XIX в. Живопись импрессионизма.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CC79DF">
        <w:rPr>
          <w:rFonts w:ascii="Times New Roman" w:hAnsi="Times New Roman" w:cs="Times New Roman"/>
          <w:bCs/>
          <w:sz w:val="24"/>
          <w:u w:val="single"/>
        </w:rPr>
        <w:t>Раздел IV. Искусство Западной Европы рубежа XIX-XX века.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4.1. Специфика стилевого пространства искусства конца XIX- начала ХХ вв.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4.2. Худ. приемы модерна и его вариации в разных странах.</w:t>
      </w:r>
    </w:p>
    <w:p w:rsidR="00CC79DF" w:rsidRPr="00CC79DF" w:rsidRDefault="00CC79DF" w:rsidP="00CC79DF">
      <w:pPr>
        <w:pStyle w:val="a3"/>
        <w:rPr>
          <w:rFonts w:ascii="Times New Roman" w:hAnsi="Times New Roman" w:cs="Times New Roman"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4.3. Живопись неоимпрессионизма и постимпрессионизма</w:t>
      </w:r>
    </w:p>
    <w:p w:rsidR="00A47862" w:rsidRPr="00CC79DF" w:rsidRDefault="00CC79DF" w:rsidP="00CC79DF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CC79DF">
        <w:rPr>
          <w:rFonts w:ascii="Times New Roman" w:hAnsi="Times New Roman" w:cs="Times New Roman"/>
          <w:bCs/>
          <w:sz w:val="24"/>
        </w:rPr>
        <w:t>Тема 4.4. Символизм</w:t>
      </w:r>
      <w:r w:rsidR="00973EE2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sectPr w:rsidR="00A47862" w:rsidRPr="00C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F45F1"/>
    <w:rsid w:val="0045241A"/>
    <w:rsid w:val="005D5AE0"/>
    <w:rsid w:val="00655760"/>
    <w:rsid w:val="00787E35"/>
    <w:rsid w:val="00795253"/>
    <w:rsid w:val="00823897"/>
    <w:rsid w:val="008C6656"/>
    <w:rsid w:val="00973EE2"/>
    <w:rsid w:val="009A05F2"/>
    <w:rsid w:val="009C447F"/>
    <w:rsid w:val="00A47862"/>
    <w:rsid w:val="00A904E1"/>
    <w:rsid w:val="00AA2EFE"/>
    <w:rsid w:val="00C55760"/>
    <w:rsid w:val="00CC79DF"/>
    <w:rsid w:val="00D35C97"/>
    <w:rsid w:val="00DA0530"/>
    <w:rsid w:val="00DF1D14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E8C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paragraph" w:styleId="1">
    <w:name w:val="heading 1"/>
    <w:basedOn w:val="a"/>
    <w:next w:val="a"/>
    <w:link w:val="10"/>
    <w:qFormat/>
    <w:rsid w:val="00DF1D1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1D1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2022-05-05T09:08:00Z</dcterms:created>
  <dcterms:modified xsi:type="dcterms:W3CDTF">2022-07-03T10:39:00Z</dcterms:modified>
</cp:coreProperties>
</file>