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1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074D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181FCB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8074D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81FC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181FCB" w:rsidRPr="008074D9" w:rsidRDefault="00216AFC" w:rsidP="001A044E">
            <w:pPr>
              <w:rPr>
                <w:sz w:val="24"/>
                <w:szCs w:val="24"/>
              </w:rPr>
            </w:pPr>
            <w:hyperlink r:id="rId9" w:tgtFrame="_blank" w:history="1">
              <w:r w:rsidR="00181FCB" w:rsidRPr="00181FCB">
                <w:rPr>
                  <w:sz w:val="24"/>
                  <w:szCs w:val="24"/>
                </w:rPr>
                <w:t>Музыкально-инструментальное искусство</w:t>
              </w:r>
            </w:hyperlink>
          </w:p>
        </w:tc>
      </w:tr>
      <w:tr w:rsidR="00D234D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234DA" w:rsidRPr="008074D9" w:rsidRDefault="00D234DA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234DA" w:rsidRPr="00D234DA" w:rsidRDefault="00D234DA" w:rsidP="001A04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00D234DA">
              <w:rPr>
                <w:rFonts w:eastAsia="Times New Roman"/>
                <w:color w:val="000000" w:themeColor="text1"/>
                <w:sz w:val="24"/>
                <w:szCs w:val="24"/>
              </w:rPr>
              <w:t>Концертные струнные инструменты (по видам инструментов: скрипка, альт, виолончель, контрабас, арфа), исторические струнные инструменты</w:t>
            </w:r>
            <w:proofErr w:type="gramEnd"/>
          </w:p>
        </w:tc>
      </w:tr>
      <w:tr w:rsidR="00181FC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8074D9" w:rsidRDefault="000C7C54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8074D9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8074D9" w:rsidRPr="00B87F0D" w:rsidRDefault="008074D9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8074D9" w:rsidRPr="00195C40" w:rsidRDefault="008074D9" w:rsidP="008074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FD0F91" w:rsidRPr="00F31E81" w:rsidTr="008074D9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</w:t>
            </w:r>
            <w:r w:rsidRPr="006D792F">
              <w:rPr>
                <w:sz w:val="22"/>
                <w:szCs w:val="22"/>
              </w:rPr>
              <w:lastRenderedPageBreak/>
              <w:t>историческом этапе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021C27" w:rsidRDefault="008074D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исполнительских особенностей в контексте </w:t>
            </w:r>
            <w:r w:rsidRPr="006D792F">
              <w:lastRenderedPageBreak/>
              <w:t>музыкально-эстетических норм определенной исторической эпохи, в том числе современности;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FC" w:rsidRDefault="00216AFC" w:rsidP="005E3840">
      <w:r>
        <w:separator/>
      </w:r>
    </w:p>
  </w:endnote>
  <w:endnote w:type="continuationSeparator" w:id="0">
    <w:p w:rsidR="00216AFC" w:rsidRDefault="00216A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E57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FC" w:rsidRDefault="00216AFC" w:rsidP="005E3840">
      <w:r>
        <w:separator/>
      </w:r>
    </w:p>
  </w:footnote>
  <w:footnote w:type="continuationSeparator" w:id="0">
    <w:p w:rsidR="00216AFC" w:rsidRDefault="00216A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E578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365A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FCB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AFC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5AD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19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781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5A8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E37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A716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4DA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302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9BE3-DCD7-4F6C-8AD1-FAFE0456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2022-02-19T20:22:00Z</cp:lastPrinted>
  <dcterms:created xsi:type="dcterms:W3CDTF">2022-02-19T19:47:00Z</dcterms:created>
  <dcterms:modified xsi:type="dcterms:W3CDTF">2022-02-19T20:22:00Z</dcterms:modified>
</cp:coreProperties>
</file>