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8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 w:val="0"/>
                <w:iCs/>
                <w:sz w:val="28"/>
                <w:szCs w:val="28"/>
                <w:lang w:val="ru-RU"/>
              </w:rPr>
              <w:t>История</w:t>
            </w:r>
            <w:r>
              <w:rPr>
                <w:rFonts w:hint="default" w:eastAsia="Times New Roman"/>
                <w:b/>
                <w:bCs/>
                <w:i w:val="0"/>
                <w:iCs/>
                <w:sz w:val="28"/>
                <w:szCs w:val="28"/>
                <w:lang w:val="ru-RU"/>
              </w:rPr>
              <w:t xml:space="preserve"> и символика орнамента</w:t>
            </w:r>
          </w:p>
        </w:tc>
      </w:tr>
      <w:tr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2812"/>
            <w:bookmarkStart w:id="2" w:name="_Toc57025163"/>
            <w:bookmarkStart w:id="3" w:name="_Toc62039378"/>
            <w:bookmarkStart w:id="4" w:name="_Toc56765514"/>
            <w:bookmarkStart w:id="5" w:name="_Toc57024930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5164"/>
            <w:bookmarkStart w:id="7" w:name="_Toc57024931"/>
            <w:bookmarkStart w:id="8" w:name="_Toc62039379"/>
            <w:bookmarkStart w:id="9" w:name="_Toc56765515"/>
            <w:bookmarkStart w:id="10" w:name="_Toc57022813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          </w:t>
            </w:r>
            <w:r>
              <w:rPr>
                <w:sz w:val="24"/>
                <w:szCs w:val="24"/>
              </w:rPr>
              <w:t>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t>Декоративно</w:t>
            </w:r>
            <w:r>
              <w:rPr>
                <w:rFonts w:hint="default"/>
                <w:sz w:val="26"/>
                <w:szCs w:val="26"/>
                <w:lang w:val="ru-RU"/>
              </w:rPr>
              <w:t>-прикладное искусство и народные промыслы</w:t>
            </w:r>
          </w:p>
        </w:tc>
      </w:tr>
      <w:tr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t>Декоративный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текстиль и аксессуары костюма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года</w:t>
            </w:r>
          </w:p>
        </w:tc>
      </w:tr>
      <w:tr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 xml:space="preserve"> </w:t>
      </w:r>
      <w:r>
        <w:rPr>
          <w:i w:val="0"/>
          <w:iCs/>
          <w:sz w:val="24"/>
          <w:szCs w:val="24"/>
        </w:rPr>
        <w:t>«</w:t>
      </w:r>
      <w:r>
        <w:rPr>
          <w:rFonts w:eastAsia="Times New Roman"/>
          <w:i w:val="0"/>
          <w:iCs/>
          <w:sz w:val="24"/>
          <w:szCs w:val="24"/>
          <w:lang w:val="ru-RU"/>
        </w:rPr>
        <w:t>История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 xml:space="preserve"> и символика орнамента</w:t>
      </w:r>
      <w:r>
        <w:rPr>
          <w:i w:val="0"/>
          <w:i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первом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 –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не предусмотрен</w:t>
      </w:r>
      <w:r>
        <w:rPr>
          <w:sz w:val="24"/>
          <w:szCs w:val="24"/>
          <w:lang w:val="ru-RU"/>
        </w:rPr>
        <w:t>а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i/>
          <w:sz w:val="24"/>
          <w:szCs w:val="24"/>
        </w:rPr>
      </w:pPr>
      <w:r>
        <w:rPr>
          <w:sz w:val="24"/>
          <w:szCs w:val="24"/>
        </w:rPr>
        <w:t>Форма промежуточной аттестации</w:t>
      </w:r>
      <w:r>
        <w:rPr>
          <w:rFonts w:hint="default"/>
          <w:sz w:val="24"/>
          <w:szCs w:val="24"/>
          <w:lang w:val="ru-RU"/>
        </w:rPr>
        <w:t xml:space="preserve"> - зачёт.</w:t>
      </w: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Место учебной дисциплины (модуля) в структуре ОПОП</w:t>
      </w:r>
    </w:p>
    <w:p>
      <w:pPr>
        <w:pStyle w:val="62"/>
        <w:numPr>
          <w:ilvl w:val="3"/>
          <w:numId w:val="5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  <w:lang w:val="ru-RU"/>
        </w:rPr>
        <w:t>Учебная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дисциплина </w:t>
      </w:r>
      <w:r>
        <w:rPr>
          <w:i w:val="0"/>
          <w:iCs/>
          <w:sz w:val="24"/>
          <w:szCs w:val="24"/>
        </w:rPr>
        <w:t>«</w:t>
      </w:r>
      <w:r>
        <w:rPr>
          <w:rFonts w:eastAsia="Times New Roman"/>
          <w:i w:val="0"/>
          <w:iCs/>
          <w:sz w:val="24"/>
          <w:szCs w:val="24"/>
          <w:lang w:val="ru-RU"/>
        </w:rPr>
        <w:t>История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 xml:space="preserve"> и символика орнамента</w:t>
      </w:r>
      <w:r>
        <w:rPr>
          <w:i w:val="0"/>
          <w:iCs/>
          <w:sz w:val="24"/>
          <w:szCs w:val="24"/>
        </w:rPr>
        <w:t>»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 xml:space="preserve">относится к </w:t>
      </w:r>
      <w:r>
        <w:rPr>
          <w:i w:val="0"/>
          <w:iCs/>
          <w:sz w:val="24"/>
          <w:szCs w:val="24"/>
          <w:lang w:val="ru-RU"/>
        </w:rPr>
        <w:t>части</w:t>
      </w:r>
      <w:r>
        <w:rPr>
          <w:rFonts w:hint="default"/>
          <w:i w:val="0"/>
          <w:iCs/>
          <w:sz w:val="24"/>
          <w:szCs w:val="24"/>
          <w:lang w:val="ru-RU"/>
        </w:rPr>
        <w:t>,</w:t>
      </w:r>
      <w:r>
        <w:rPr>
          <w:i w:val="0"/>
          <w:iCs/>
          <w:sz w:val="24"/>
          <w:szCs w:val="24"/>
        </w:rPr>
        <w:t xml:space="preserve"> формируемой участниками образовательных отношений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i w:val="0"/>
          <w:iCs/>
        </w:rPr>
      </w:pPr>
      <w:r>
        <w:rPr>
          <w:sz w:val="24"/>
          <w:szCs w:val="24"/>
        </w:rPr>
        <w:t xml:space="preserve">Изучение </w:t>
      </w:r>
      <w:r>
        <w:rPr>
          <w:sz w:val="24"/>
          <w:szCs w:val="24"/>
          <w:lang w:val="ru-RU"/>
        </w:rPr>
        <w:t>дисциплины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«</w:t>
      </w:r>
      <w:r>
        <w:rPr>
          <w:rFonts w:eastAsia="Times New Roman"/>
          <w:i w:val="0"/>
          <w:iCs/>
          <w:sz w:val="24"/>
          <w:szCs w:val="24"/>
          <w:lang w:val="ru-RU"/>
        </w:rPr>
        <w:t>История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 xml:space="preserve"> и символика орнамента</w:t>
      </w:r>
      <w:r>
        <w:rPr>
          <w:i w:val="0"/>
          <w:iCs/>
          <w:sz w:val="24"/>
          <w:szCs w:val="24"/>
        </w:rPr>
        <w:t>»</w:t>
      </w:r>
      <w:r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sz w:val="24"/>
          <w:szCs w:val="24"/>
          <w:lang w:val="ru-RU"/>
        </w:rPr>
        <w:t>дисциплине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«</w:t>
      </w:r>
      <w:r>
        <w:rPr>
          <w:rFonts w:eastAsia="Times New Roman"/>
          <w:i w:val="0"/>
          <w:iCs/>
          <w:sz w:val="24"/>
          <w:szCs w:val="24"/>
          <w:lang w:val="ru-RU"/>
        </w:rPr>
        <w:t>История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 xml:space="preserve"> и символика орнамента</w:t>
      </w:r>
      <w:r>
        <w:rPr>
          <w:i w:val="0"/>
          <w:iCs/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 изучении следующих дисциплин: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Проектирование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изделий декоративно-прикладного искусства;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Композиция;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Декорирование текстильных изделий;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История и современность декоративно-прикладного искусства и народных промыслов.</w:t>
      </w:r>
    </w:p>
    <w:p>
      <w:pPr>
        <w:pStyle w:val="62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>
        <w:rPr>
          <w:sz w:val="24"/>
          <w:szCs w:val="24"/>
          <w:lang w:val="ru-RU"/>
        </w:rPr>
        <w:t>учебной</w:t>
      </w:r>
      <w:r>
        <w:rPr>
          <w:rFonts w:hint="default"/>
          <w:sz w:val="24"/>
          <w:szCs w:val="24"/>
          <w:lang w:val="ru-RU"/>
        </w:rPr>
        <w:t xml:space="preserve"> дисциплины </w:t>
      </w:r>
      <w:r>
        <w:rPr>
          <w:i w:val="0"/>
          <w:iCs/>
          <w:sz w:val="24"/>
          <w:szCs w:val="24"/>
        </w:rPr>
        <w:t>«</w:t>
      </w:r>
      <w:r>
        <w:rPr>
          <w:rFonts w:eastAsia="Times New Roman"/>
          <w:i w:val="0"/>
          <w:iCs/>
          <w:sz w:val="24"/>
          <w:szCs w:val="24"/>
          <w:lang w:val="ru-RU"/>
        </w:rPr>
        <w:t>История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 xml:space="preserve"> и символика орнамента</w:t>
      </w:r>
      <w:r>
        <w:rPr>
          <w:rFonts w:hint="default"/>
          <w:i w:val="0"/>
          <w:iCs/>
          <w:sz w:val="24"/>
          <w:szCs w:val="24"/>
          <w:lang w:val="ru-RU"/>
        </w:rPr>
        <w:t>а</w:t>
      </w:r>
      <w:r>
        <w:rPr>
          <w:i w:val="0"/>
          <w:iCs/>
          <w:sz w:val="24"/>
          <w:szCs w:val="24"/>
        </w:rPr>
        <w:t>»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формирования компетенций и обеспечивающими достижение планируемых результатов освоения дисциплины (модуля).</w:t>
      </w:r>
    </w:p>
    <w:p>
      <w:pPr>
        <w:pStyle w:val="3"/>
        <w:numPr>
          <w:ilvl w:val="0"/>
          <w:numId w:val="0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rPr>
          <w:trHeight w:val="454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  <w:t>ПК-2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  <w:t>Способен проводить предпроектные исследования в области декоративно-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Style w:val="152"/>
                <w:rFonts w:hint="default" w:ascii="Times New Roman" w:hAnsi="Times New Roman" w:cs="Times New Roman"/>
                <w:i w:val="0"/>
                <w:iCs/>
                <w:sz w:val="22"/>
                <w:szCs w:val="22"/>
              </w:rPr>
            </w:pPr>
            <w:r>
              <w:rPr>
                <w:rStyle w:val="152"/>
                <w:rFonts w:hint="default" w:ascii="Times New Roman" w:hAnsi="Times New Roman" w:cs="Times New Roman"/>
                <w:i w:val="0"/>
                <w:iCs/>
                <w:sz w:val="22"/>
                <w:szCs w:val="22"/>
              </w:rPr>
              <w:t>ИД-</w:t>
            </w:r>
            <w:r>
              <w:rPr>
                <w:rStyle w:val="152"/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  <w:t>ПК-2</w:t>
            </w:r>
            <w:r>
              <w:rPr>
                <w:rStyle w:val="152"/>
                <w:rFonts w:hint="default" w:ascii="Times New Roman" w:hAnsi="Times New Roman" w:cs="Times New Roman"/>
                <w:i w:val="0"/>
                <w:iCs/>
                <w:sz w:val="22"/>
                <w:szCs w:val="22"/>
              </w:rPr>
              <w:t>.1</w:t>
            </w:r>
          </w:p>
          <w:p>
            <w:pPr>
              <w:pStyle w:val="62"/>
              <w:ind w:left="0"/>
              <w:rPr>
                <w:rFonts w:hint="default" w:ascii="Times New Roman" w:hAnsi="Times New Roman" w:cs="Times New Roman"/>
                <w:i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  <w:t>Осуществляет предпроектный поиск области декоративно- прикладного искусства, декоративнного текстиля и аксессуаров костюма.</w:t>
            </w:r>
          </w:p>
        </w:tc>
      </w:tr>
      <w:tr>
        <w:trPr>
          <w:trHeight w:val="500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1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Style w:val="152"/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2"/>
                <w:rFonts w:hint="default" w:ascii="Times New Roman" w:hAnsi="Times New Roman" w:cs="Times New Roman"/>
                <w:i w:val="0"/>
                <w:iCs/>
                <w:sz w:val="22"/>
                <w:szCs w:val="22"/>
              </w:rPr>
              <w:t>ИД-</w:t>
            </w:r>
            <w:r>
              <w:rPr>
                <w:rStyle w:val="152"/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  <w:t>ПК-2.2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  <w:t>Анализ результатов предпроектного поиска области декоративно-прикладного искусства,декоративного текстиля и аксессуаров костюма.</w:t>
            </w:r>
          </w:p>
        </w:tc>
      </w:tr>
      <w:tr>
        <w:trPr>
          <w:trHeight w:val="500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Style w:val="152"/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2"/>
                <w:rFonts w:hint="default" w:ascii="Times New Roman" w:hAnsi="Times New Roman" w:cs="Times New Roman"/>
                <w:i w:val="0"/>
                <w:iCs/>
                <w:sz w:val="22"/>
                <w:szCs w:val="22"/>
              </w:rPr>
              <w:t>ИД-</w:t>
            </w:r>
            <w:r>
              <w:rPr>
                <w:rStyle w:val="152"/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  <w:t>ПК-2.3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lang w:val="ru-RU"/>
              </w:rPr>
              <w:t>Определение возможных путей использования результатов предпроектных исследований области декоративно-прикладного искусства, декоративного текстиля и аксессуаров костюма.</w:t>
            </w: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 xml:space="preserve">Общая трудоёмкость учебной дисциплины 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«</w:t>
      </w:r>
      <w:r>
        <w:rPr>
          <w:rFonts w:eastAsia="Times New Roman"/>
          <w:i w:val="0"/>
          <w:iCs/>
          <w:sz w:val="24"/>
          <w:szCs w:val="24"/>
          <w:lang w:val="ru-RU"/>
        </w:rPr>
        <w:t>История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 xml:space="preserve"> и символика орнамента</w:t>
      </w:r>
      <w:r>
        <w:rPr>
          <w:rFonts w:hint="default"/>
          <w:i w:val="0"/>
          <w:iCs/>
          <w:sz w:val="24"/>
          <w:szCs w:val="24"/>
          <w:lang w:val="ru-RU"/>
        </w:rPr>
        <w:t>а</w:t>
      </w:r>
      <w:r>
        <w:rPr>
          <w:i w:val="0"/>
          <w:iCs/>
          <w:sz w:val="24"/>
          <w:szCs w:val="24"/>
        </w:rPr>
        <w:t>»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bookmarkStart w:id="11" w:name="_GoBack"/>
      <w:bookmarkEnd w:id="11"/>
      <w:r>
        <w:rPr>
          <w:szCs w:val="26"/>
        </w:rPr>
        <w:t>по учебному плану составляет:</w:t>
      </w:r>
    </w:p>
    <w:tbl>
      <w:tblPr>
        <w:tblStyle w:val="38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108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right"/>
    </w:pPr>
  </w:p>
  <w:p>
    <w:pPr>
      <w:pStyle w:val="2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framePr w:wrap="around" w:vAnchor="text" w:hAnchor="margin" w:xAlign="right" w:y="1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end"/>
    </w:r>
  </w:p>
  <w:p>
    <w:pPr>
      <w:pStyle w:val="2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right"/>
    </w:pPr>
  </w:p>
  <w:p>
    <w:pPr>
      <w:pStyle w:val="2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3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3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jc w:val="center"/>
    </w:pPr>
  </w:p>
  <w:p>
    <w:pPr>
      <w:pStyle w:val="3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15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14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5850352"/>
    <w:rsid w:val="11CF5E6E"/>
    <w:rsid w:val="13AC51F0"/>
    <w:rsid w:val="27BD68AC"/>
    <w:rsid w:val="2D71507C"/>
    <w:rsid w:val="3357239D"/>
    <w:rsid w:val="362B44A9"/>
    <w:rsid w:val="439A7546"/>
    <w:rsid w:val="758044FD"/>
    <w:rsid w:val="7AD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8"/>
    <w:unhideWhenUsed/>
    <w:uiPriority w:val="99"/>
    <w:rPr>
      <w:rFonts w:ascii="Tahoma" w:hAnsi="Tahoma" w:cs="Tahoma"/>
      <w:sz w:val="16"/>
      <w:szCs w:val="16"/>
    </w:rPr>
  </w:style>
  <w:style w:type="paragraph" w:styleId="14">
    <w:name w:val="Block Text"/>
    <w:basedOn w:val="1"/>
    <w:qFormat/>
    <w:uiPriority w:val="0"/>
    <w:pPr>
      <w:numPr>
        <w:ilvl w:val="0"/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15">
    <w:name w:val="Body Text"/>
    <w:basedOn w:val="1"/>
    <w:link w:val="64"/>
    <w:qFormat/>
    <w:uiPriority w:val="0"/>
    <w:pPr>
      <w:numPr>
        <w:ilvl w:val="0"/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6">
    <w:name w:val="Body Text 2"/>
    <w:basedOn w:val="1"/>
    <w:link w:val="114"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17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18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19">
    <w:name w:val="Body Text First Indent 2"/>
    <w:basedOn w:val="18"/>
    <w:link w:val="70"/>
    <w:uiPriority w:val="0"/>
    <w:pPr>
      <w:spacing w:after="120"/>
      <w:ind w:left="283" w:firstLine="210"/>
      <w:jc w:val="left"/>
    </w:pPr>
    <w:rPr>
      <w:sz w:val="20"/>
    </w:rPr>
  </w:style>
  <w:style w:type="paragraph" w:styleId="20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21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2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character" w:styleId="23">
    <w:name w:val="annotation reference"/>
    <w:uiPriority w:val="0"/>
    <w:rPr>
      <w:sz w:val="16"/>
      <w:szCs w:val="16"/>
    </w:rPr>
  </w:style>
  <w:style w:type="paragraph" w:styleId="24">
    <w:name w:val="annotation text"/>
    <w:basedOn w:val="1"/>
    <w:link w:val="104"/>
    <w:uiPriority w:val="0"/>
    <w:rPr>
      <w:rFonts w:eastAsia="Times New Roman"/>
      <w:sz w:val="20"/>
      <w:szCs w:val="20"/>
    </w:rPr>
  </w:style>
  <w:style w:type="paragraph" w:styleId="25">
    <w:name w:val="annotation subject"/>
    <w:basedOn w:val="24"/>
    <w:next w:val="24"/>
    <w:link w:val="105"/>
    <w:qFormat/>
    <w:uiPriority w:val="0"/>
    <w:rPr>
      <w:b/>
      <w:bCs/>
    </w:rPr>
  </w:style>
  <w:style w:type="paragraph" w:styleId="26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character" w:styleId="27">
    <w:name w:val="Emphasis"/>
    <w:qFormat/>
    <w:uiPriority w:val="20"/>
    <w:rPr>
      <w:i/>
      <w:iCs/>
    </w:rPr>
  </w:style>
  <w:style w:type="paragraph" w:styleId="2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character" w:styleId="29">
    <w:name w:val="footnote reference"/>
    <w:qFormat/>
    <w:uiPriority w:val="0"/>
    <w:rPr>
      <w:vertAlign w:val="superscript"/>
    </w:rPr>
  </w:style>
  <w:style w:type="paragraph" w:styleId="30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31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character" w:styleId="32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3">
    <w:name w:val="line number"/>
    <w:basedOn w:val="11"/>
    <w:qFormat/>
    <w:uiPriority w:val="0"/>
  </w:style>
  <w:style w:type="paragraph" w:styleId="34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character" w:styleId="35">
    <w:name w:val="page number"/>
    <w:uiPriority w:val="0"/>
  </w:style>
  <w:style w:type="paragraph" w:styleId="36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character" w:styleId="37">
    <w:name w:val="Strong"/>
    <w:qFormat/>
    <w:uiPriority w:val="0"/>
    <w:rPr>
      <w:rFonts w:cs="Times New Roman"/>
      <w:b/>
      <w:bCs/>
    </w:rPr>
  </w:style>
  <w:style w:type="table" w:styleId="38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9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40">
    <w:name w:val="toc 1"/>
    <w:basedOn w:val="1"/>
    <w:next w:val="4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41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42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30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13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31"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2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15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uiPriority w:val="0"/>
  </w:style>
  <w:style w:type="character" w:customStyle="1" w:styleId="67">
    <w:name w:val="Название Знак"/>
    <w:basedOn w:val="11"/>
    <w:link w:val="39"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18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17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1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6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4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5"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20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36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16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1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1</TotalTime>
  <ScaleCrop>false</ScaleCrop>
  <LinksUpToDate>false</LinksUpToDate>
  <CharactersWithSpaces>4430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Мария Громова</cp:lastModifiedBy>
  <cp:lastPrinted>2021-05-14T12:22:00Z</cp:lastPrinted>
  <dcterms:modified xsi:type="dcterms:W3CDTF">2022-03-01T15:04:36Z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0B8CA3809DA54DD2845DD66A5FEA3132</vt:lpwstr>
  </property>
</Properties>
</file>