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3E5E3C" w14:paraId="12FBF5D0" w14:textId="77777777" w:rsidTr="003E5E3C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  <w:hideMark/>
          </w:tcPr>
          <w:p w14:paraId="29BE8B5D" w14:textId="77777777" w:rsidR="003E5E3C" w:rsidRDefault="003E5E3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АННОТАЦИЯ РАБОЧЕЙ ПРОГРАММЫ</w:t>
            </w:r>
          </w:p>
          <w:p w14:paraId="0DF534EC" w14:textId="77777777" w:rsidR="003E5E3C" w:rsidRDefault="003E5E3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Toc62039376"/>
            <w:r>
              <w:rPr>
                <w:b/>
                <w:sz w:val="26"/>
                <w:szCs w:val="26"/>
                <w:lang w:eastAsia="en-US"/>
              </w:rPr>
              <w:t xml:space="preserve">УЧЕБНОЙ </w:t>
            </w:r>
            <w:bookmarkEnd w:id="0"/>
            <w:r>
              <w:rPr>
                <w:b/>
                <w:sz w:val="26"/>
                <w:szCs w:val="26"/>
                <w:lang w:eastAsia="en-US"/>
              </w:rPr>
              <w:t>ДИСЦИПЛИНЫ</w:t>
            </w:r>
          </w:p>
        </w:tc>
      </w:tr>
      <w:tr w:rsidR="00432443" w14:paraId="352E4166" w14:textId="77777777" w:rsidTr="00A4516C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14:paraId="6711E941" w14:textId="77777777" w:rsidR="00432443" w:rsidRPr="00F32E39" w:rsidRDefault="00262CFC" w:rsidP="00262CF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Светоцветовая организация архитектурной среды</w:t>
            </w:r>
          </w:p>
        </w:tc>
      </w:tr>
      <w:tr w:rsidR="00432443" w14:paraId="1C97B740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8FB747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>
              <w:rPr>
                <w:sz w:val="24"/>
                <w:szCs w:val="24"/>
                <w:lang w:eastAsia="en-US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76F4BD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специалитет</w:t>
            </w:r>
          </w:p>
        </w:tc>
      </w:tr>
      <w:tr w:rsidR="00432443" w14:paraId="236D83D9" w14:textId="77777777" w:rsidTr="003E5E3C">
        <w:trPr>
          <w:trHeight w:val="567"/>
        </w:trPr>
        <w:tc>
          <w:tcPr>
            <w:tcW w:w="4361" w:type="dxa"/>
            <w:hideMark/>
          </w:tcPr>
          <w:p w14:paraId="035DDBC2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2185" w:type="dxa"/>
            <w:hideMark/>
          </w:tcPr>
          <w:p w14:paraId="42C45C38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54.05.02</w:t>
            </w:r>
          </w:p>
        </w:tc>
        <w:tc>
          <w:tcPr>
            <w:tcW w:w="3861" w:type="dxa"/>
            <w:gridSpan w:val="2"/>
            <w:hideMark/>
          </w:tcPr>
          <w:p w14:paraId="0212B9C6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 Живопись</w:t>
            </w:r>
          </w:p>
        </w:tc>
      </w:tr>
      <w:tr w:rsidR="00432443" w14:paraId="7F8B9D1D" w14:textId="77777777" w:rsidTr="00230F74">
        <w:trPr>
          <w:gridAfter w:val="1"/>
          <w:wAfter w:w="383" w:type="dxa"/>
          <w:trHeight w:val="567"/>
        </w:trPr>
        <w:tc>
          <w:tcPr>
            <w:tcW w:w="4361" w:type="dxa"/>
            <w:hideMark/>
          </w:tcPr>
          <w:p w14:paraId="3B67E809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5663" w:type="dxa"/>
            <w:gridSpan w:val="2"/>
            <w:shd w:val="clear" w:color="auto" w:fill="auto"/>
            <w:hideMark/>
          </w:tcPr>
          <w:p w14:paraId="1C3D87B3" w14:textId="77777777" w:rsidR="00432443" w:rsidRPr="004F7782" w:rsidRDefault="00432443" w:rsidP="00432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432443" w14:paraId="561E4A6B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hideMark/>
          </w:tcPr>
          <w:p w14:paraId="2A175F7E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vAlign w:val="center"/>
            <w:hideMark/>
          </w:tcPr>
          <w:p w14:paraId="5DB72549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лет</w:t>
            </w:r>
          </w:p>
        </w:tc>
      </w:tr>
      <w:tr w:rsidR="00432443" w14:paraId="76E33D26" w14:textId="77777777" w:rsidTr="003E5E3C">
        <w:trPr>
          <w:gridAfter w:val="1"/>
          <w:wAfter w:w="383" w:type="dxa"/>
          <w:trHeight w:val="567"/>
        </w:trPr>
        <w:tc>
          <w:tcPr>
            <w:tcW w:w="4361" w:type="dxa"/>
            <w:vAlign w:val="bottom"/>
            <w:hideMark/>
          </w:tcPr>
          <w:p w14:paraId="6319D019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Форма(-ы) обучения</w:t>
            </w:r>
          </w:p>
        </w:tc>
        <w:tc>
          <w:tcPr>
            <w:tcW w:w="5663" w:type="dxa"/>
            <w:gridSpan w:val="2"/>
            <w:vAlign w:val="bottom"/>
            <w:hideMark/>
          </w:tcPr>
          <w:p w14:paraId="70513821" w14:textId="77777777" w:rsidR="00432443" w:rsidRDefault="00432443" w:rsidP="004324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14:paraId="06ADE20E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57C5E151" w14:textId="77777777" w:rsidR="003E5E3C" w:rsidRDefault="003E5E3C" w:rsidP="00262CF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262CFC" w:rsidRPr="00262CFC">
        <w:rPr>
          <w:sz w:val="24"/>
          <w:szCs w:val="24"/>
        </w:rPr>
        <w:t>Светоцветовая организация архитектурной среды</w:t>
      </w:r>
      <w:r w:rsidR="00262CFC">
        <w:rPr>
          <w:sz w:val="24"/>
          <w:szCs w:val="24"/>
        </w:rPr>
        <w:t>» изучается факультативно в 6 семестре</w:t>
      </w:r>
      <w:r>
        <w:rPr>
          <w:sz w:val="24"/>
          <w:szCs w:val="24"/>
        </w:rPr>
        <w:t>.</w:t>
      </w:r>
    </w:p>
    <w:p w14:paraId="5D61BD09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4D7A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D7A84">
        <w:rPr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предусмотрена</w:t>
      </w:r>
    </w:p>
    <w:p w14:paraId="099DEF98" w14:textId="55BDF181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Форма промежуточной аттестации</w:t>
      </w:r>
    </w:p>
    <w:p w14:paraId="0AFD4E39" w14:textId="77777777" w:rsidR="003E5E3C" w:rsidRDefault="00262CF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32AE966F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</w:p>
    <w:p w14:paraId="6ECDDCDD" w14:textId="77777777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</w:t>
      </w:r>
    </w:p>
    <w:p w14:paraId="6A9F017E" w14:textId="77777777" w:rsidR="003E5E3C" w:rsidRPr="00262CFC" w:rsidRDefault="003E5E3C" w:rsidP="00262CFC">
      <w:pPr>
        <w:pStyle w:val="a4"/>
        <w:numPr>
          <w:ilvl w:val="3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</w:t>
      </w:r>
      <w:r w:rsidR="00432443">
        <w:rPr>
          <w:sz w:val="24"/>
          <w:szCs w:val="24"/>
        </w:rPr>
        <w:t>бная дисциплина «</w:t>
      </w:r>
      <w:r w:rsidR="00262CFC" w:rsidRPr="00262CFC">
        <w:rPr>
          <w:sz w:val="24"/>
          <w:szCs w:val="24"/>
        </w:rPr>
        <w:t>Светоцветовая организация архитектурной среды» относится к факультативной</w:t>
      </w:r>
      <w:r w:rsidRPr="00262CFC">
        <w:rPr>
          <w:sz w:val="24"/>
          <w:szCs w:val="24"/>
        </w:rPr>
        <w:t xml:space="preserve"> части программы.</w:t>
      </w:r>
    </w:p>
    <w:p w14:paraId="71093EAC" w14:textId="77777777" w:rsidR="003E5E3C" w:rsidRDefault="003E5E3C" w:rsidP="003E5E3C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Цели и планируемые результаты обучения по дисциплине (модулю)</w:t>
      </w:r>
    </w:p>
    <w:p w14:paraId="0AB64F03" w14:textId="77777777" w:rsidR="003E5E3C" w:rsidRPr="00262CFC" w:rsidRDefault="003E5E3C" w:rsidP="00262CFC">
      <w:pPr>
        <w:pStyle w:val="a4"/>
        <w:numPr>
          <w:ilvl w:val="3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262CFC" w:rsidRPr="00262CFC">
        <w:rPr>
          <w:sz w:val="24"/>
          <w:szCs w:val="24"/>
        </w:rPr>
        <w:t>Светоцветовая организация архитектурной среды</w:t>
      </w:r>
      <w:r w:rsidRPr="00262CFC">
        <w:rPr>
          <w:rFonts w:eastAsia="Times New Roman"/>
          <w:sz w:val="24"/>
          <w:szCs w:val="24"/>
        </w:rPr>
        <w:t>» являются:</w:t>
      </w:r>
    </w:p>
    <w:p w14:paraId="0F01E9C1" w14:textId="77777777" w:rsidR="00262CFC" w:rsidRPr="009023E3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9023E3">
        <w:rPr>
          <w:rFonts w:eastAsia="Times New Roman"/>
          <w:sz w:val="24"/>
          <w:szCs w:val="24"/>
        </w:rPr>
        <w:t xml:space="preserve">ознакомление с </w:t>
      </w:r>
      <w:r>
        <w:rPr>
          <w:bCs/>
          <w:sz w:val="24"/>
          <w:szCs w:val="24"/>
        </w:rPr>
        <w:t>основами</w:t>
      </w:r>
      <w:r w:rsidRPr="009023E3">
        <w:rPr>
          <w:bCs/>
          <w:sz w:val="24"/>
          <w:szCs w:val="24"/>
        </w:rPr>
        <w:t xml:space="preserve"> проектирования </w:t>
      </w:r>
      <w:proofErr w:type="spellStart"/>
      <w:r>
        <w:rPr>
          <w:bCs/>
          <w:sz w:val="24"/>
          <w:szCs w:val="24"/>
        </w:rPr>
        <w:t>светоцветвых</w:t>
      </w:r>
      <w:proofErr w:type="spellEnd"/>
      <w:r>
        <w:rPr>
          <w:bCs/>
          <w:sz w:val="24"/>
          <w:szCs w:val="24"/>
        </w:rPr>
        <w:t xml:space="preserve"> элементов средовых</w:t>
      </w:r>
      <w:r w:rsidRPr="009023E3">
        <w:rPr>
          <w:bCs/>
          <w:sz w:val="24"/>
          <w:szCs w:val="24"/>
        </w:rPr>
        <w:t xml:space="preserve"> объектов</w:t>
      </w:r>
      <w:r w:rsidRPr="009023E3">
        <w:rPr>
          <w:rFonts w:eastAsia="Times New Roman"/>
          <w:sz w:val="24"/>
          <w:szCs w:val="24"/>
        </w:rPr>
        <w:t>;</w:t>
      </w:r>
    </w:p>
    <w:p w14:paraId="5771456A" w14:textId="77777777" w:rsidR="00262CFC" w:rsidRPr="009023E3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9023E3">
        <w:rPr>
          <w:color w:val="333333"/>
          <w:sz w:val="24"/>
          <w:szCs w:val="24"/>
        </w:rPr>
        <w:t>анализ и классификация свето</w:t>
      </w:r>
      <w:r>
        <w:rPr>
          <w:color w:val="333333"/>
          <w:sz w:val="24"/>
          <w:szCs w:val="24"/>
        </w:rPr>
        <w:t>цвето</w:t>
      </w:r>
      <w:r w:rsidRPr="009023E3">
        <w:rPr>
          <w:color w:val="333333"/>
          <w:sz w:val="24"/>
          <w:szCs w:val="24"/>
        </w:rPr>
        <w:t>вых объектов;</w:t>
      </w:r>
    </w:p>
    <w:p w14:paraId="2F80C51B" w14:textId="77777777" w:rsidR="00262CFC" w:rsidRPr="009023E3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9023E3">
        <w:rPr>
          <w:color w:val="333333"/>
          <w:sz w:val="24"/>
          <w:szCs w:val="24"/>
        </w:rPr>
        <w:t>изучение эргономических требований и технических особенностей световых объектов;</w:t>
      </w:r>
    </w:p>
    <w:p w14:paraId="7A166F3A" w14:textId="77777777" w:rsidR="00262CFC" w:rsidRPr="009023E3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9023E3">
        <w:rPr>
          <w:color w:val="333333"/>
          <w:sz w:val="24"/>
          <w:szCs w:val="24"/>
        </w:rPr>
        <w:t xml:space="preserve">выявление </w:t>
      </w:r>
      <w:r>
        <w:rPr>
          <w:color w:val="333333"/>
          <w:sz w:val="24"/>
          <w:szCs w:val="24"/>
        </w:rPr>
        <w:t xml:space="preserve">особенностей </w:t>
      </w:r>
      <w:r w:rsidRPr="009023E3">
        <w:rPr>
          <w:color w:val="333333"/>
          <w:sz w:val="24"/>
          <w:szCs w:val="24"/>
        </w:rPr>
        <w:t>свето</w:t>
      </w:r>
      <w:r>
        <w:rPr>
          <w:color w:val="333333"/>
          <w:sz w:val="24"/>
          <w:szCs w:val="24"/>
        </w:rPr>
        <w:t xml:space="preserve">цветовой </w:t>
      </w:r>
      <w:proofErr w:type="gramStart"/>
      <w:r>
        <w:rPr>
          <w:color w:val="333333"/>
          <w:sz w:val="24"/>
          <w:szCs w:val="24"/>
        </w:rPr>
        <w:t xml:space="preserve">организации </w:t>
      </w:r>
      <w:r w:rsidRPr="009023E3">
        <w:rPr>
          <w:color w:val="333333"/>
          <w:sz w:val="24"/>
          <w:szCs w:val="24"/>
        </w:rPr>
        <w:t xml:space="preserve"> в</w:t>
      </w:r>
      <w:proofErr w:type="gramEnd"/>
      <w:r>
        <w:rPr>
          <w:color w:val="333333"/>
          <w:sz w:val="24"/>
          <w:szCs w:val="24"/>
        </w:rPr>
        <w:t xml:space="preserve"> архитектурной среде</w:t>
      </w:r>
      <w:r w:rsidRPr="009023E3">
        <w:rPr>
          <w:color w:val="333333"/>
          <w:sz w:val="24"/>
          <w:szCs w:val="24"/>
        </w:rPr>
        <w:t xml:space="preserve"> </w:t>
      </w:r>
      <w:proofErr w:type="spellStart"/>
      <w:r w:rsidRPr="009023E3">
        <w:rPr>
          <w:color w:val="333333"/>
          <w:sz w:val="24"/>
          <w:szCs w:val="24"/>
        </w:rPr>
        <w:t>среде</w:t>
      </w:r>
      <w:proofErr w:type="spellEnd"/>
      <w:r w:rsidRPr="009023E3">
        <w:rPr>
          <w:color w:val="333333"/>
          <w:sz w:val="24"/>
          <w:szCs w:val="24"/>
        </w:rPr>
        <w:t>;</w:t>
      </w:r>
    </w:p>
    <w:p w14:paraId="49B5FCC8" w14:textId="77777777" w:rsidR="00262CFC" w:rsidRPr="009023E3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9023E3">
        <w:rPr>
          <w:sz w:val="24"/>
          <w:szCs w:val="24"/>
        </w:rPr>
        <w:t xml:space="preserve">изучение визуального </w:t>
      </w:r>
      <w:r>
        <w:rPr>
          <w:sz w:val="24"/>
          <w:szCs w:val="24"/>
        </w:rPr>
        <w:t>образа</w:t>
      </w:r>
      <w:r w:rsidRPr="009023E3">
        <w:rPr>
          <w:sz w:val="24"/>
          <w:szCs w:val="24"/>
        </w:rPr>
        <w:t xml:space="preserve"> свето</w:t>
      </w:r>
      <w:r>
        <w:rPr>
          <w:sz w:val="24"/>
          <w:szCs w:val="24"/>
        </w:rPr>
        <w:t>цвето</w:t>
      </w:r>
      <w:r w:rsidRPr="009023E3">
        <w:rPr>
          <w:sz w:val="24"/>
          <w:szCs w:val="24"/>
        </w:rPr>
        <w:t xml:space="preserve">вых объектов </w:t>
      </w:r>
      <w:r>
        <w:rPr>
          <w:sz w:val="24"/>
          <w:szCs w:val="24"/>
        </w:rPr>
        <w:t>в пространстве</w:t>
      </w:r>
      <w:r w:rsidRPr="009023E3">
        <w:rPr>
          <w:sz w:val="24"/>
          <w:szCs w:val="24"/>
        </w:rPr>
        <w:t>;</w:t>
      </w:r>
    </w:p>
    <w:p w14:paraId="65AF501B" w14:textId="77777777" w:rsidR="00262CFC" w:rsidRPr="00FF742B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FF742B">
        <w:rPr>
          <w:sz w:val="24"/>
          <w:szCs w:val="24"/>
        </w:rPr>
        <w:t>анализ общих вопросов, связанных с современными тенденциями освещения;</w:t>
      </w:r>
    </w:p>
    <w:p w14:paraId="11A118A4" w14:textId="77777777" w:rsidR="00262CFC" w:rsidRPr="00FF742B" w:rsidRDefault="00262CFC" w:rsidP="00262CFC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FF742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6C3B1694" w14:textId="77777777" w:rsidR="003E5E3C" w:rsidRDefault="003E5E3C" w:rsidP="003E5E3C">
      <w:pPr>
        <w:pStyle w:val="a4"/>
        <w:numPr>
          <w:ilvl w:val="3"/>
          <w:numId w:val="2"/>
        </w:numPr>
        <w:jc w:val="both"/>
        <w:rPr>
          <w:sz w:val="24"/>
          <w:szCs w:val="24"/>
        </w:rPr>
      </w:pPr>
    </w:p>
    <w:p w14:paraId="31DE2527" w14:textId="77777777" w:rsidR="003E5E3C" w:rsidRDefault="003E5E3C" w:rsidP="003E5E3C">
      <w:pPr>
        <w:pStyle w:val="2"/>
      </w:pPr>
      <w:r>
        <w:t>Формируемые компетенции и индикаторы достижения компетенций:</w:t>
      </w:r>
      <w:r w:rsidR="00432443">
        <w:t xml:space="preserve"> </w:t>
      </w:r>
    </w:p>
    <w:p w14:paraId="32440689" w14:textId="77777777" w:rsidR="00432443" w:rsidRDefault="00432443" w:rsidP="00432443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528"/>
      </w:tblGrid>
      <w:tr w:rsidR="004D197C" w:rsidRPr="00432443" w14:paraId="4E8DE0FB" w14:textId="77777777" w:rsidTr="004D197C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BB868A" w14:textId="77777777" w:rsidR="004D197C" w:rsidRPr="00432443" w:rsidRDefault="004D197C" w:rsidP="0043244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3244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554FF" w14:textId="77777777" w:rsidR="004D197C" w:rsidRPr="00432443" w:rsidRDefault="004D197C" w:rsidP="00432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2443">
              <w:rPr>
                <w:b/>
                <w:color w:val="000000"/>
              </w:rPr>
              <w:t>Код и наименование индикатора</w:t>
            </w:r>
          </w:p>
          <w:p w14:paraId="1A3A6DAA" w14:textId="77777777" w:rsidR="004D197C" w:rsidRPr="00432443" w:rsidRDefault="004D197C" w:rsidP="004324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2443">
              <w:rPr>
                <w:b/>
                <w:color w:val="000000"/>
              </w:rPr>
              <w:t>достижения компетенции</w:t>
            </w:r>
          </w:p>
        </w:tc>
      </w:tr>
      <w:tr w:rsidR="00014E61" w:rsidRPr="00432443" w14:paraId="729A19DF" w14:textId="77777777" w:rsidTr="00014E61">
        <w:trPr>
          <w:trHeight w:val="21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CEF4D" w14:textId="77777777" w:rsidR="00014E61" w:rsidRDefault="00014E61" w:rsidP="00014E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ПК-2</w:t>
            </w:r>
          </w:p>
          <w:p w14:paraId="097528F4" w14:textId="77777777" w:rsidR="00014E61" w:rsidRDefault="00014E61" w:rsidP="00014E61">
            <w:r>
              <w:t xml:space="preserve">"способен владеть основными профессиональными навыками живописца-монументалиста и умением работать в </w:t>
            </w:r>
            <w:proofErr w:type="gramStart"/>
            <w:r>
              <w:t>различных  материалах</w:t>
            </w:r>
            <w:proofErr w:type="gramEnd"/>
            <w:r>
              <w:t xml:space="preserve"> и техниках монументальной живописи</w:t>
            </w:r>
          </w:p>
          <w:p w14:paraId="6EB0D328" w14:textId="77777777" w:rsidR="00014E61" w:rsidRPr="003A32E7" w:rsidRDefault="00014E61" w:rsidP="00014E61">
            <w:r>
              <w:t>"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1A06B" w14:textId="77777777" w:rsidR="00014E61" w:rsidRPr="00014E61" w:rsidRDefault="00014E61" w:rsidP="00014E6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hint="default"/>
              </w:rPr>
            </w:pPr>
            <w:r w:rsidRPr="00014E61">
              <w:rPr>
                <w:rStyle w:val="fontstyle01"/>
                <w:rFonts w:ascii="Times New Roman" w:hAnsi="Times New Roman" w:hint="default"/>
              </w:rPr>
              <w:t>ИД-ПК-2.3</w:t>
            </w:r>
          </w:p>
          <w:p w14:paraId="2393D827" w14:textId="77777777" w:rsidR="00014E61" w:rsidRPr="00014E61" w:rsidRDefault="00014E61" w:rsidP="00014E61">
            <w:pPr>
              <w:rPr>
                <w:sz w:val="24"/>
                <w:szCs w:val="24"/>
              </w:rPr>
            </w:pPr>
          </w:p>
          <w:p w14:paraId="79D81B3E" w14:textId="77777777" w:rsidR="00014E61" w:rsidRPr="00014E61" w:rsidRDefault="00014E61" w:rsidP="00014E61">
            <w:pPr>
              <w:pStyle w:val="a4"/>
              <w:ind w:left="0"/>
            </w:pPr>
            <w:r w:rsidRPr="00014E61">
              <w:t>Владение художественными технологиями и новыми техническими возможностями создания монументального произведения</w:t>
            </w:r>
          </w:p>
        </w:tc>
      </w:tr>
      <w:tr w:rsidR="00014E61" w:rsidRPr="00432443" w14:paraId="6C9945FE" w14:textId="77777777" w:rsidTr="005D1E5E">
        <w:trPr>
          <w:trHeight w:val="9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F8610" w14:textId="77777777" w:rsidR="00014E61" w:rsidRPr="00DF7300" w:rsidRDefault="00014E61" w:rsidP="00014E61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  <w:p w14:paraId="4626C5A4" w14:textId="77777777" w:rsidR="00014E61" w:rsidRPr="00D75A4E" w:rsidRDefault="00014E61" w:rsidP="00014E61">
            <w:pPr>
              <w:pStyle w:val="pboth"/>
              <w:rPr>
                <w:sz w:val="22"/>
                <w:szCs w:val="22"/>
              </w:rPr>
            </w:pPr>
            <w:r w:rsidRPr="00D75A4E">
              <w:rPr>
                <w:sz w:val="22"/>
                <w:szCs w:val="22"/>
              </w:rPr>
              <w:t>"способен к проектной работе в архитектурно-пространственной среде</w:t>
            </w:r>
          </w:p>
          <w:p w14:paraId="5878F666" w14:textId="77777777" w:rsidR="00014E61" w:rsidRPr="00D04D1D" w:rsidRDefault="00014E61" w:rsidP="00014E6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18E62" w14:textId="77777777" w:rsidR="00014E61" w:rsidRPr="00014E61" w:rsidRDefault="00014E61" w:rsidP="00014E6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 w:hint="default"/>
                <w:lang w:eastAsia="en-US"/>
              </w:rPr>
            </w:pPr>
            <w:r w:rsidRPr="00014E61">
              <w:rPr>
                <w:rStyle w:val="fontstyle01"/>
                <w:rFonts w:ascii="Times New Roman" w:eastAsiaTheme="minorHAnsi" w:hAnsi="Times New Roman" w:hint="default"/>
                <w:lang w:eastAsia="en-US"/>
              </w:rPr>
              <w:t>ИД-ПК-3.2</w:t>
            </w:r>
          </w:p>
          <w:p w14:paraId="72100B95" w14:textId="77777777" w:rsidR="00014E61" w:rsidRPr="00014E61" w:rsidRDefault="00014E61" w:rsidP="00014E61">
            <w:pPr>
              <w:rPr>
                <w:rStyle w:val="fontstyle01"/>
                <w:rFonts w:ascii="Times New Roman" w:hAnsi="Times New Roman" w:hint="default"/>
              </w:rPr>
            </w:pPr>
            <w:r w:rsidRPr="00014E61">
              <w:rPr>
                <w:rStyle w:val="fontstyle01"/>
                <w:rFonts w:ascii="Times New Roman" w:hAnsi="Times New Roman" w:hint="default"/>
              </w:rPr>
              <w:t>Разработка проектной идеи, основанной на концептуальном , творческом подходе к решению дизайнерской задачи</w:t>
            </w:r>
          </w:p>
        </w:tc>
      </w:tr>
    </w:tbl>
    <w:p w14:paraId="4F1F0CA5" w14:textId="77777777" w:rsidR="00432443" w:rsidRPr="00432443" w:rsidRDefault="00432443" w:rsidP="00432443"/>
    <w:p w14:paraId="7534FB04" w14:textId="77777777" w:rsidR="003E5E3C" w:rsidRDefault="003E5E3C" w:rsidP="003E5E3C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E5E3C" w:rsidRPr="00432443" w14:paraId="31E469D1" w14:textId="77777777" w:rsidTr="003E5E3C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9EF" w14:textId="77777777" w:rsidR="003E5E3C" w:rsidRPr="00432443" w:rsidRDefault="003E5E3C">
            <w:pPr>
              <w:rPr>
                <w:lang w:eastAsia="en-US"/>
              </w:rPr>
            </w:pPr>
            <w:r w:rsidRPr="00432443">
              <w:rPr>
                <w:sz w:val="24"/>
                <w:szCs w:val="24"/>
                <w:lang w:eastAsia="en-US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8481" w14:textId="77777777" w:rsidR="003E5E3C" w:rsidRPr="00432443" w:rsidRDefault="00136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8EB" w14:textId="77777777" w:rsidR="003E5E3C" w:rsidRPr="00432443" w:rsidRDefault="003E5E3C">
            <w:pPr>
              <w:jc w:val="center"/>
              <w:rPr>
                <w:lang w:eastAsia="en-US"/>
              </w:rPr>
            </w:pPr>
            <w:proofErr w:type="spellStart"/>
            <w:r w:rsidRPr="00432443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432443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BA55" w14:textId="77777777" w:rsidR="003E5E3C" w:rsidRPr="00432443" w:rsidRDefault="00136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0533" w14:textId="77777777" w:rsidR="003E5E3C" w:rsidRPr="00432443" w:rsidRDefault="003E5E3C">
            <w:pPr>
              <w:rPr>
                <w:lang w:eastAsia="en-US"/>
              </w:rPr>
            </w:pPr>
            <w:r w:rsidRPr="00432443">
              <w:rPr>
                <w:b/>
                <w:sz w:val="24"/>
                <w:szCs w:val="24"/>
                <w:lang w:eastAsia="en-US"/>
              </w:rPr>
              <w:t>час.</w:t>
            </w:r>
          </w:p>
        </w:tc>
      </w:tr>
    </w:tbl>
    <w:p w14:paraId="22BC4D2C" w14:textId="77777777" w:rsidR="003E5E3C" w:rsidRPr="00432443" w:rsidRDefault="003E5E3C" w:rsidP="003E5E3C">
      <w:pPr>
        <w:rPr>
          <w:b/>
        </w:rPr>
      </w:pPr>
    </w:p>
    <w:p w14:paraId="2CE94716" w14:textId="77777777" w:rsidR="006975B5" w:rsidRDefault="006975B5"/>
    <w:sectPr w:rsidR="0069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7E20F9D"/>
    <w:multiLevelType w:val="multilevel"/>
    <w:tmpl w:val="5CB885A2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188671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23063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71036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091132">
    <w:abstractNumId w:val="3"/>
  </w:num>
  <w:num w:numId="5" w16cid:durableId="2045864072">
    <w:abstractNumId w:val="2"/>
  </w:num>
  <w:num w:numId="6" w16cid:durableId="68544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E3C"/>
    <w:rsid w:val="00014E61"/>
    <w:rsid w:val="00136F57"/>
    <w:rsid w:val="00262CFC"/>
    <w:rsid w:val="003E5E3C"/>
    <w:rsid w:val="00432443"/>
    <w:rsid w:val="004D197C"/>
    <w:rsid w:val="004D7A84"/>
    <w:rsid w:val="006975B5"/>
    <w:rsid w:val="006C7BE3"/>
    <w:rsid w:val="006D655A"/>
    <w:rsid w:val="00846141"/>
    <w:rsid w:val="00AF331B"/>
    <w:rsid w:val="00D523AE"/>
    <w:rsid w:val="00D57C82"/>
    <w:rsid w:val="00D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E5B2"/>
  <w15:docId w15:val="{B02CBE27-96A1-4490-99BE-C1D3B810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E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5E3C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E3C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E3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E5E3C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3E5E3C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3E5E3C"/>
    <w:pPr>
      <w:ind w:left="720"/>
      <w:contextualSpacing/>
    </w:pPr>
  </w:style>
  <w:style w:type="paragraph" w:customStyle="1" w:styleId="pboth">
    <w:name w:val="pboth"/>
    <w:basedOn w:val="a"/>
    <w:rsid w:val="003E5E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E5E3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3E5E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2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 уточной аттестации</vt:lpstr>
      <vt:lpstr>    Место учебной дисциплины в структуре ОПОП</vt:lpstr>
      <vt:lpstr>    Цели и планируемые результаты обучения по дисциплине (модулю)</vt:lpstr>
      <vt:lpstr>    Формируемые компетенции и индикаторы достижения компетенций: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Яна Моркина</cp:lastModifiedBy>
  <cp:revision>2</cp:revision>
  <dcterms:created xsi:type="dcterms:W3CDTF">2022-04-05T13:21:00Z</dcterms:created>
  <dcterms:modified xsi:type="dcterms:W3CDTF">2022-04-05T13:21:00Z</dcterms:modified>
</cp:coreProperties>
</file>