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461A9B" w:rsidP="00B51943">
            <w:pPr>
              <w:rPr>
                <w:sz w:val="24"/>
                <w:szCs w:val="24"/>
              </w:rPr>
            </w:pPr>
            <w:r w:rsidRPr="00461A9B"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второй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461A9B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Учебная практика. Ознакомительная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>Цели Учебной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88321F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88321F" w:rsidRPr="00E01E75" w:rsidRDefault="0088321F" w:rsidP="0088321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анализа поставленной цели и определения круга задач, необходимых для ее достижения;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сбора, подготовки, хранения и анализа данных;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 поиска и отбора информации при работе с информационными технологиями;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693B0A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ОПК-2</w:t>
            </w:r>
          </w:p>
          <w:p w:rsidR="00693B0A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0A" w:rsidRPr="00CF6F5E" w:rsidRDefault="00693B0A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ИД-ОПК-2.1</w:t>
            </w:r>
          </w:p>
          <w:p w:rsidR="00693B0A" w:rsidRPr="00681478" w:rsidRDefault="004A75F7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75F7">
              <w:t>Использование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</w:tr>
      <w:tr w:rsidR="004A75F7" w:rsidRPr="00693B0A" w:rsidTr="004A75F7">
        <w:trPr>
          <w:trHeight w:val="537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75F7" w:rsidRDefault="004A75F7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4A75F7" w:rsidRDefault="004A75F7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26E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F7" w:rsidRPr="00CF6F5E" w:rsidRDefault="004A75F7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ИД-ОПК-3.1</w:t>
            </w:r>
          </w:p>
          <w:p w:rsidR="004A75F7" w:rsidRPr="00681478" w:rsidRDefault="004A75F7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75F7">
              <w:t>Использование методов поиска и анализа информации для решения стандартных задач профессиональной деятельности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</w:tr>
      <w:tr w:rsidR="004A75F7" w:rsidRPr="00693B0A" w:rsidTr="0088321F">
        <w:trPr>
          <w:trHeight w:val="53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F7" w:rsidRDefault="004A75F7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5F7" w:rsidRDefault="004A75F7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ИД-ОПК-3.2</w:t>
            </w:r>
            <w:bookmarkStart w:id="11" w:name="_GoBack"/>
            <w:bookmarkEnd w:id="11"/>
          </w:p>
          <w:p w:rsidR="004A75F7" w:rsidRPr="00CF6F5E" w:rsidRDefault="004A75F7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75F7">
              <w:rPr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3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108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31" w:rsidRDefault="00233131" w:rsidP="005E3840">
      <w:r>
        <w:separator/>
      </w:r>
    </w:p>
  </w:endnote>
  <w:endnote w:type="continuationSeparator" w:id="0">
    <w:p w:rsidR="00233131" w:rsidRDefault="002331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42B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31" w:rsidRDefault="00233131" w:rsidP="005E3840">
      <w:r>
        <w:separator/>
      </w:r>
    </w:p>
  </w:footnote>
  <w:footnote w:type="continuationSeparator" w:id="0">
    <w:p w:rsidR="00233131" w:rsidRDefault="002331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42B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A75F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B36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131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A9B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5F7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5EF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1DF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51BB2C-4874-4215-AC09-6971091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64CF-6B0A-42A6-9339-697736D3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2023-06-17T22:42:00Z</dcterms:created>
  <dcterms:modified xsi:type="dcterms:W3CDTF">2023-06-28T09:56:00Z</dcterms:modified>
</cp:coreProperties>
</file>