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Профессионально-творческая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2812"/>
            <w:bookmarkStart w:id="1" w:name="_Toc62039378"/>
            <w:bookmarkStart w:id="2" w:name="_Toc56765514"/>
            <w:bookmarkStart w:id="3" w:name="_Toc57025163"/>
            <w:bookmarkStart w:id="4" w:name="_Toc57024930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2813"/>
            <w:bookmarkStart w:id="6" w:name="_Toc57024931"/>
            <w:bookmarkStart w:id="7" w:name="_Toc62039379"/>
            <w:bookmarkStart w:id="8" w:name="_Toc57025164"/>
            <w:bookmarkStart w:id="9" w:name="_Toc56765515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 года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11 мес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6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lang w:val="ru-RU"/>
        </w:rPr>
        <w:t>пятый</w:t>
      </w:r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Производственная практика. Профессионально-творческая практика</w:t>
      </w:r>
      <w:r>
        <w:rPr>
          <w:iCs/>
          <w:sz w:val="24"/>
          <w:szCs w:val="24"/>
        </w:rPr>
        <w:t xml:space="preserve">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производственной</w:t>
      </w:r>
      <w:r>
        <w:rPr>
          <w:rFonts w:hint="default"/>
          <w:highlight w:val="none"/>
          <w:lang w:val="ru-RU"/>
        </w:rPr>
        <w:t xml:space="preserve"> (</w:t>
      </w:r>
      <w:r>
        <w:rPr>
          <w:highlight w:val="none"/>
          <w:lang w:val="ru-RU"/>
        </w:rPr>
        <w:t>п</w:t>
      </w:r>
      <w:r>
        <w:rPr>
          <w:rFonts w:hint="default"/>
          <w:highlight w:val="none"/>
          <w:lang w:val="ru-RU"/>
        </w:rPr>
        <w:t>рофессионально-творческой) практики</w:t>
      </w:r>
      <w:r>
        <w:rPr>
          <w:highlight w:val="none"/>
        </w:rPr>
        <w:t>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  <w:lang w:val="ru-RU"/>
        </w:rPr>
        <w:t>универсальных</w:t>
      </w:r>
      <w:r>
        <w:rPr>
          <w:rFonts w:hint="default"/>
          <w:iCs/>
          <w:sz w:val="24"/>
          <w:szCs w:val="24"/>
          <w:lang w:val="ru-RU"/>
        </w:rPr>
        <w:t xml:space="preserve"> и </w:t>
      </w:r>
      <w:r>
        <w:rPr>
          <w:iCs/>
          <w:sz w:val="24"/>
          <w:szCs w:val="24"/>
        </w:rPr>
        <w:t xml:space="preserve">профессиональных компетенций по выполнению </w:t>
      </w:r>
      <w:r>
        <w:rPr>
          <w:iCs/>
          <w:sz w:val="24"/>
          <w:szCs w:val="24"/>
          <w:lang w:val="ru-RU"/>
        </w:rPr>
        <w:t>п</w:t>
      </w:r>
      <w:r>
        <w:rPr>
          <w:rFonts w:hint="default"/>
          <w:iCs/>
          <w:sz w:val="24"/>
          <w:szCs w:val="24"/>
          <w:lang w:val="ru-RU"/>
        </w:rPr>
        <w:t>рофессионально-творческой</w:t>
      </w:r>
      <w:r>
        <w:rPr>
          <w:iCs/>
          <w:sz w:val="24"/>
          <w:szCs w:val="24"/>
        </w:rPr>
        <w:t xml:space="preserve">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проблемы. 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0"/>
    <w:p>
      <w:pPr>
        <w:pStyle w:val="3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bookmarkStart w:id="11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  <w:r>
              <w:t>ПК-2.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-ПК-2.2 </w:t>
            </w: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1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-ПК-3.2 </w:t>
            </w:r>
            <w:r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autoSpaceDE w:val="0"/>
              <w:autoSpaceDN w:val="0"/>
              <w:adjustRightInd w:val="0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-ПК-3.3 </w:t>
            </w:r>
            <w:r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ПК-4</w:t>
            </w:r>
            <w:r>
              <w:rPr>
                <w:i/>
              </w:rPr>
              <w:t xml:space="preserve">. </w:t>
            </w: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bookmarkEnd w:id="11"/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производственной</w:t>
      </w:r>
      <w:r>
        <w:rPr>
          <w:sz w:val="26"/>
          <w:szCs w:val="26"/>
          <w:highlight w:val="none"/>
        </w:rPr>
        <w:t xml:space="preserve"> </w:t>
      </w:r>
      <w:r>
        <w:rPr>
          <w:rFonts w:hint="default"/>
          <w:sz w:val="26"/>
          <w:szCs w:val="26"/>
          <w:highlight w:val="none"/>
          <w:lang w:val="ru-RU"/>
        </w:rPr>
        <w:t>(</w:t>
      </w:r>
      <w:r>
        <w:rPr>
          <w:sz w:val="26"/>
          <w:szCs w:val="26"/>
          <w:highlight w:val="none"/>
          <w:lang w:val="ru-RU"/>
        </w:rPr>
        <w:t>п</w:t>
      </w:r>
      <w:r>
        <w:rPr>
          <w:rFonts w:hint="default"/>
          <w:sz w:val="26"/>
          <w:szCs w:val="26"/>
          <w:highlight w:val="none"/>
          <w:lang w:val="ru-RU"/>
        </w:rPr>
        <w:t>рофессионально-творческой) практики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bookmarkStart w:id="12" w:name="_GoBack"/>
            <w:bookmarkEnd w:id="12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324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CEF23AF"/>
    <w:rsid w:val="14CA3AEF"/>
    <w:rsid w:val="164A065E"/>
    <w:rsid w:val="25511F52"/>
    <w:rsid w:val="2A0E2F44"/>
    <w:rsid w:val="342F53E4"/>
    <w:rsid w:val="398F1E65"/>
    <w:rsid w:val="3B271412"/>
    <w:rsid w:val="3F10756E"/>
    <w:rsid w:val="4651563E"/>
    <w:rsid w:val="52964D5E"/>
    <w:rsid w:val="53A87B29"/>
    <w:rsid w:val="571A4A65"/>
    <w:rsid w:val="5AAA235A"/>
    <w:rsid w:val="5D5526DB"/>
    <w:rsid w:val="65A11F27"/>
    <w:rsid w:val="6BF47D6A"/>
    <w:rsid w:val="71310305"/>
    <w:rsid w:val="71E13DF6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289</Words>
  <Characters>2297</Characters>
  <Lines>41</Lines>
  <Paragraphs>11</Paragraphs>
  <TotalTime>3</TotalTime>
  <ScaleCrop>false</ScaleCrop>
  <LinksUpToDate>false</LinksUpToDate>
  <CharactersWithSpaces>2539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</cp:lastModifiedBy>
  <cp:lastPrinted>2021-02-03T14:35:00Z</cp:lastPrinted>
  <dcterms:modified xsi:type="dcterms:W3CDTF">2023-06-14T17:23:42Z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1311B731E3954B6394D57C0BBB6C326E</vt:lpwstr>
  </property>
</Properties>
</file>