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</w:t>
            </w:r>
            <w:r>
              <w:rPr>
                <w:b/>
                <w:sz w:val="26"/>
                <w:szCs w:val="26"/>
              </w:rPr>
              <w:t>-ознакомительная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4930"/>
            <w:bookmarkStart w:id="1" w:name="_Toc56765514"/>
            <w:bookmarkStart w:id="2" w:name="_Toc57022812"/>
            <w:bookmarkStart w:id="3" w:name="_Toc57025163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7024931"/>
            <w:bookmarkStart w:id="7" w:name="_Toc62039379"/>
            <w:bookmarkStart w:id="8" w:name="_Toc57025164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p/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bookmarkStart w:id="10" w:name="_GoBack"/>
      <w:bookmarkEnd w:id="10"/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Учебная практика. </w:t>
      </w:r>
      <w:r>
        <w:rPr>
          <w:rFonts w:hint="default"/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-ознакомительная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  <w:highlight w:val="none"/>
        </w:rPr>
      </w:pPr>
      <w:r>
        <w:rPr>
          <w:iCs/>
          <w:sz w:val="24"/>
          <w:szCs w:val="24"/>
          <w:highlight w:val="none"/>
        </w:rPr>
        <w:t xml:space="preserve">закрепление теоретических знаний, полученных при изучении обязательных дисциплин формирование </w:t>
      </w:r>
      <w:r>
        <w:rPr>
          <w:iCs/>
          <w:sz w:val="24"/>
          <w:szCs w:val="24"/>
          <w:highlight w:val="none"/>
          <w:lang w:val="ru-RU"/>
        </w:rPr>
        <w:t>универсальных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, </w:t>
      </w:r>
      <w:r>
        <w:rPr>
          <w:iCs/>
          <w:sz w:val="24"/>
          <w:szCs w:val="24"/>
          <w:highlight w:val="none"/>
        </w:rPr>
        <w:t xml:space="preserve">общепрофессиональных </w:t>
      </w:r>
      <w:r>
        <w:rPr>
          <w:iCs/>
          <w:sz w:val="24"/>
          <w:szCs w:val="24"/>
          <w:highlight w:val="none"/>
          <w:lang w:val="ru-RU"/>
        </w:rPr>
        <w:t>и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 </w:t>
      </w:r>
      <w:r>
        <w:rPr>
          <w:iCs/>
          <w:sz w:val="24"/>
          <w:szCs w:val="24"/>
          <w:highlight w:val="none"/>
        </w:rPr>
        <w:t xml:space="preserve">компетенций, получение первичных профессиональных умений и навыков в области </w:t>
      </w:r>
      <w:r>
        <w:rPr>
          <w:iCs/>
          <w:sz w:val="24"/>
          <w:szCs w:val="24"/>
          <w:highlight w:val="none"/>
          <w:lang w:val="ru-RU"/>
        </w:rPr>
        <w:t>рекламы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и связям с общественностью в коммерческой сфере, разработки и реализации проектов, особенности медиатекста, медиапродукта, а также по продвижению и распространению продукции средств массовой информации.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ind w:left="0" w:leftChars="0" w:firstLine="0" w:firstLineChars="0"/>
              <w:rPr>
                <w:rFonts w:eastAsia="Times New Roman"/>
                <w:i/>
              </w:rPr>
            </w:pPr>
          </w:p>
          <w:p>
            <w:pPr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8"/>
              </w:numPr>
              <w:ind w:left="0" w:leftChars="0" w:firstLine="0" w:firstLine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Анализ востребованных обществом знаковых систем, жанров и форматов для обоснования наиболее приемлемых отдельным целевым группам общественности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highlight w:val="none"/>
          <w:lang w:val="ru-RU"/>
        </w:rPr>
        <w:t>учебной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216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65D02"/>
    <w:multiLevelType w:val="multilevel"/>
    <w:tmpl w:val="14065D02"/>
    <w:lvl w:ilvl="0" w:tentative="0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C7E45"/>
    <w:multiLevelType w:val="multilevel"/>
    <w:tmpl w:val="25FC7E45"/>
    <w:lvl w:ilvl="0" w:tentative="0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8594DD3"/>
    <w:multiLevelType w:val="multilevel"/>
    <w:tmpl w:val="48594DD3"/>
    <w:lvl w:ilvl="0" w:tentative="0">
      <w:start w:val="1"/>
      <w:numFmt w:val="decimal"/>
      <w:lvlText w:val="ИД-УК-2.%1"/>
      <w:lvlJc w:val="left"/>
      <w:pPr>
        <w:ind w:left="104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2F3C5BA7"/>
    <w:rsid w:val="383E6815"/>
    <w:rsid w:val="398F1E65"/>
    <w:rsid w:val="45C861AD"/>
    <w:rsid w:val="4D554123"/>
    <w:rsid w:val="71412C10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2022-05-11T15:58:15Z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4E3E40F78E2A4A4AA47194E3E6635AE3</vt:lpwstr>
  </property>
</Properties>
</file>