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9" w:type="dxa"/>
            <w:gridSpan w:val="2"/>
            <w:vMerge w:val="restart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Основы законодательства в области охраны окружающей среды и безопасности жизнедеятельности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6765514"/>
            <w:bookmarkStart w:id="1" w:name="_Toc57025163"/>
            <w:bookmarkStart w:id="2" w:name="_Toc57024930"/>
            <w:bookmarkStart w:id="3" w:name="_Toc62039378"/>
            <w:bookmarkStart w:id="4" w:name="_Toc57022812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62039379"/>
            <w:bookmarkStart w:id="6" w:name="_Toc57022813"/>
            <w:bookmarkStart w:id="7" w:name="_Toc56765515"/>
            <w:bookmarkStart w:id="8" w:name="_Toc57024931"/>
            <w:bookmarkStart w:id="9" w:name="_Toc57025164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Техносферная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«Основы законодательства в области охраны окружающей среды и безопасности жизнедеятельности»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>
              <w:rPr>
                <w:rFonts w:eastAsia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.З. Цинцадзе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Е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highlight w:val="none"/>
                <w:lang w:val="ru-RU"/>
              </w:rPr>
              <w:t>.П. Рыжова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 «</w:t>
      </w:r>
      <w:r>
        <w:rPr>
          <w:rFonts w:hint="default"/>
          <w:i w:val="0"/>
          <w:iCs/>
          <w:sz w:val="24"/>
          <w:szCs w:val="24"/>
          <w:lang w:val="ru-RU"/>
        </w:rPr>
        <w:t>Основы законодательства в области охраны окружающей среды и безопасности жизнедеятельности</w:t>
      </w:r>
      <w:r>
        <w:rPr>
          <w:i w:val="0"/>
          <w:iCs/>
          <w:sz w:val="24"/>
          <w:szCs w:val="24"/>
        </w:rPr>
        <w:t xml:space="preserve">» изучается в </w:t>
      </w:r>
      <w:r>
        <w:rPr>
          <w:i w:val="0"/>
          <w:iCs/>
          <w:sz w:val="24"/>
          <w:szCs w:val="24"/>
          <w:lang w:val="ru-RU"/>
        </w:rPr>
        <w:t>шестом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семестре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не 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>Форма промежуточной аттестации:</w:t>
      </w:r>
      <w:r>
        <w:rPr>
          <w:rFonts w:hint="default"/>
          <w:lang w:val="ru-RU"/>
        </w:rPr>
        <w:t xml:space="preserve"> зачет.</w:t>
      </w:r>
      <w:r>
        <w:t xml:space="preserve"> 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rPr>
          <w:rFonts w:hint="default"/>
          <w:i/>
          <w:lang w:val="ru-RU"/>
        </w:rPr>
        <w:t xml:space="preserve"> </w:t>
      </w:r>
      <w:r>
        <w:t>в структуре ОПОП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rFonts w:hint="default"/>
          <w:sz w:val="24"/>
          <w:szCs w:val="24"/>
          <w:lang w:val="ru-RU"/>
        </w:rPr>
        <w:t xml:space="preserve"> «Основы законодательства в области охраны окружающей среды и безопасности жизнедеятельности»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относится </w:t>
      </w:r>
      <w:r>
        <w:rPr>
          <w:i w:val="0"/>
          <w:iCs w:val="0"/>
          <w:sz w:val="24"/>
          <w:szCs w:val="24"/>
          <w:lang w:val="ru-RU"/>
        </w:rPr>
        <w:t>к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обязательной части.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Экология;</w:t>
      </w:r>
    </w:p>
    <w:p>
      <w:pPr>
        <w:pStyle w:val="62"/>
        <w:numPr>
          <w:ilvl w:val="2"/>
          <w:numId w:val="6"/>
        </w:numPr>
        <w:rPr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Безопасность жизнедеятельности.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>
        <w:rPr>
          <w:i w:val="0"/>
          <w:iCs w:val="0"/>
          <w:sz w:val="24"/>
          <w:szCs w:val="24"/>
        </w:rPr>
        <w:t xml:space="preserve"> 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rFonts w:hint="default"/>
          <w:i w:val="0"/>
          <w:iCs/>
          <w:sz w:val="24"/>
          <w:szCs w:val="24"/>
          <w:lang w:val="ru-RU"/>
        </w:rPr>
      </w:pPr>
      <w:r>
        <w:rPr>
          <w:rFonts w:hint="default"/>
          <w:i w:val="0"/>
          <w:iCs/>
          <w:sz w:val="24"/>
          <w:szCs w:val="24"/>
          <w:lang w:val="ru-RU"/>
        </w:rPr>
        <w:t>Экологический мониторинг. Методы и приборы контроля окружающей среды;</w:t>
      </w:r>
    </w:p>
    <w:p>
      <w:pPr>
        <w:pStyle w:val="62"/>
        <w:numPr>
          <w:ilvl w:val="2"/>
          <w:numId w:val="6"/>
        </w:numPr>
        <w:rPr>
          <w:rFonts w:hint="default"/>
          <w:i w:val="0"/>
          <w:iCs/>
          <w:sz w:val="24"/>
          <w:szCs w:val="24"/>
          <w:lang w:val="ru-RU"/>
        </w:rPr>
      </w:pPr>
      <w:r>
        <w:rPr>
          <w:rFonts w:hint="default"/>
          <w:i w:val="0"/>
          <w:iCs/>
          <w:sz w:val="24"/>
          <w:szCs w:val="24"/>
          <w:lang w:val="ru-RU"/>
        </w:rPr>
        <w:t>Системы безопасности условий труда;</w:t>
      </w:r>
    </w:p>
    <w:p>
      <w:pPr>
        <w:pStyle w:val="62"/>
        <w:numPr>
          <w:ilvl w:val="2"/>
          <w:numId w:val="6"/>
        </w:numPr>
        <w:rPr>
          <w:rFonts w:hint="default"/>
          <w:i w:val="0"/>
          <w:iCs/>
          <w:sz w:val="24"/>
          <w:szCs w:val="24"/>
          <w:lang w:val="ru-RU"/>
        </w:rPr>
      </w:pPr>
      <w:r>
        <w:rPr>
          <w:rFonts w:hint="default"/>
          <w:i w:val="0"/>
          <w:iCs/>
          <w:sz w:val="24"/>
          <w:szCs w:val="24"/>
          <w:lang w:val="ru-RU"/>
        </w:rPr>
        <w:t>Системы управления охраной труда. Специальная оценка условий труда;</w:t>
      </w:r>
    </w:p>
    <w:p>
      <w:pPr>
        <w:pStyle w:val="62"/>
        <w:numPr>
          <w:ilvl w:val="2"/>
          <w:numId w:val="6"/>
        </w:numPr>
        <w:rPr>
          <w:rFonts w:hint="default"/>
          <w:i w:val="0"/>
          <w:iCs/>
          <w:sz w:val="24"/>
          <w:szCs w:val="24"/>
          <w:lang w:val="ru-RU"/>
        </w:rPr>
      </w:pPr>
      <w:r>
        <w:rPr>
          <w:rFonts w:hint="default"/>
          <w:i w:val="0"/>
          <w:iCs/>
          <w:sz w:val="24"/>
          <w:szCs w:val="24"/>
          <w:lang w:val="ru-RU"/>
        </w:rPr>
        <w:t>Переработка твердых отходов промышленности и потребления.</w:t>
      </w:r>
    </w:p>
    <w:p>
      <w:pPr>
        <w:pStyle w:val="62"/>
        <w:numPr>
          <w:numId w:val="0"/>
        </w:numPr>
        <w:ind w:left="709" w:leftChars="0"/>
        <w:rPr>
          <w:rFonts w:hint="default"/>
          <w:sz w:val="24"/>
          <w:szCs w:val="24"/>
          <w:lang w:val="ru-RU"/>
        </w:rPr>
      </w:pP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i w:val="0"/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</w:t>
      </w:r>
      <w:r>
        <w:rPr>
          <w:rFonts w:hint="default"/>
          <w:sz w:val="24"/>
          <w:szCs w:val="24"/>
          <w:lang w:val="ru-RU"/>
        </w:rPr>
        <w:t>Основы законодательства в области охраны окружающей среды и безопасности жизнедеятельности</w:t>
      </w:r>
      <w:r>
        <w:rPr>
          <w:rFonts w:hint="default" w:eastAsia="Times New Roman"/>
          <w:sz w:val="24"/>
          <w:szCs w:val="24"/>
          <w:lang w:val="ru-RU"/>
        </w:rPr>
        <w:t>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формирование правового сознания в области охраны окружающей среды и безопасности жизнедеятельности;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изучение и применение норм законодательства в области охраны окружающей среды;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.</w:t>
      </w:r>
    </w:p>
    <w:tbl>
      <w:tblPr>
        <w:tblStyle w:val="12"/>
        <w:tblpPr w:leftFromText="180" w:rightFromText="180" w:vertAnchor="text" w:horzAnchor="page" w:tblpX="1683" w:tblpY="717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ИД-УК-2.1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17"/>
              </w:tabs>
              <w:ind w:left="34" w:leftChars="0"/>
              <w:rPr>
                <w:rFonts w:hint="default"/>
                <w:b w:val="0"/>
                <w:bCs/>
                <w:sz w:val="22"/>
                <w:szCs w:val="22"/>
                <w:shd w:val="clear" w:color="FFFFFF" w:fill="D9D9D9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shd w:val="clear" w:color="auto" w:fill="auto"/>
                <w:lang w:val="ru-RU"/>
              </w:rPr>
              <w:t>- Анализирует и выполняет профессиональные задачи в области охраны окружающей среды с учетом требований законодательства РФ.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ИД-УК-2.3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ИД-УК-11.1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/>
              </w:rPr>
              <w:t>Знает и применяет основные принципы законодательного права используемого в антикоррупционном законодательстве.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ИД-УК-11.4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ОПК-3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ИД-ОПК-3.1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Поиск и анализ нормативно-правовой информации в области обеспечения безопасности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color w:val="000000"/>
                <w:lang w:val="ru-RU" w:eastAsia="en-US"/>
              </w:rPr>
              <w:t xml:space="preserve">Осуществляет сбор и анализ  </w:t>
            </w: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/>
              </w:rPr>
              <w:t>нормативно</w:t>
            </w:r>
            <w:r>
              <w:rPr>
                <w:rFonts w:hint="default" w:eastAsiaTheme="minorHAnsi"/>
                <w:color w:val="000000"/>
                <w:lang w:val="ru-RU" w:eastAsia="en-US"/>
              </w:rPr>
              <w:t>-правовой информации в области охраны окружающей среды и техносферной безопасности;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 знает и использует информационно-коммуникационные технологии для сбора и анализа информации в области охраны окружающей среды.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ИД-ОПК-3.2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Использование цифровых платформ, справочных правовых системам, баз данных в области техносферной безопаности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ИД-ОПК-3.3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Разработка систем управления безопасностью с учетом государственных требований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ПК-3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обеспечивать функционирование систем управления техносферной безопасностью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ИД-ПК-3.1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Оформление локальных нормативно-правовых актов в области техносферной безопаности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У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меет применять знания в области экологического законодательства для решения профессиональных задач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shd w:val="clear" w:color="FFFFFF" w:fill="D9D9D9"/>
                <w:lang w:val="ru-RU" w:eastAsia="en-US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нает и применяет основные принципы и этапы разработки нормативно-правовой и технической документации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о вопросам защиты окружающей среды.</w:t>
            </w:r>
          </w:p>
        </w:tc>
      </w:tr>
    </w:tbl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bCs/>
          <w:i/>
        </w:rPr>
        <w:t xml:space="preserve"> 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rPr>
                <w:rFonts w:hint="default"/>
                <w:lang w:val="ru-RU"/>
              </w:rPr>
              <w:t>6</w:t>
            </w:r>
            <w: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33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en-US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36</w:t>
            </w:r>
          </w:p>
        </w:tc>
        <w:tc>
          <w:tcPr>
            <w:tcW w:w="837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Шестой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УК-2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ИД-УК-2.1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ИД-УК-2.3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УК-11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ИД-УК-11.1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ИД-УК-11.4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ОПК-3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ИД-ПК-3.1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Основы законодательства в области охраны окружающей среды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30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i w:val="0"/>
                <w:iCs w:val="0"/>
                <w:highlight w:val="none"/>
              </w:rPr>
            </w:pPr>
            <w:r>
              <w:rPr>
                <w:i w:val="0"/>
                <w:iCs w:val="0"/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i w:val="0"/>
                <w:iCs w:val="0"/>
                <w:highlight w:val="none"/>
              </w:rPr>
            </w:pPr>
            <w:r>
              <w:rPr>
                <w:i w:val="0"/>
                <w:iCs w:val="0"/>
                <w:highlight w:val="none"/>
              </w:rPr>
              <w:t xml:space="preserve">по разделу </w:t>
            </w:r>
            <w:r>
              <w:rPr>
                <w:i w:val="0"/>
                <w:iCs w:val="0"/>
                <w:highlight w:val="none"/>
                <w:lang w:val="en-US"/>
              </w:rPr>
              <w:t>I</w:t>
            </w:r>
            <w:r>
              <w:rPr>
                <w:i w:val="0"/>
                <w:iCs w:val="0"/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/>
                <w:i w:val="0"/>
                <w:iCs w:val="0"/>
                <w:highlight w:val="none"/>
                <w:lang w:val="ru-RU"/>
              </w:rPr>
            </w:pPr>
            <w:r>
              <w:rPr>
                <w:rFonts w:hint="default"/>
                <w:i w:val="0"/>
                <w:iCs w:val="0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 w:val="0"/>
                <w:highlight w:val="none"/>
                <w:lang w:val="ru-RU"/>
              </w:rPr>
              <w:t>Реферат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Введение в основы законодательства в области охраны окружающей среды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1.2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Направления государственной политики в области экологии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1.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Источники экологического права.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Система источников.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Нормы экологического права, содержащиеся в нормативно-правовых актах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 w:eastAsia="Times New Roman" w:cs="Times New Roman"/>
                <w:iCs/>
                <w:lang w:val="en-US"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Тема</w:t>
            </w:r>
            <w:r>
              <w:rPr>
                <w:rFonts w:hint="default" w:eastAsia="Times New Roman" w:cs="Times New Roman"/>
                <w:iCs/>
                <w:lang w:val="en-US" w:eastAsia="ru-RU"/>
              </w:rPr>
              <w:t xml:space="preserve"> 1.4</w:t>
            </w:r>
          </w:p>
          <w:p>
            <w:pPr>
              <w:rPr>
                <w:rFonts w:hint="default" w:eastAsia="Times New Roman" w:cs="Times New Roman"/>
                <w:iCs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Право собственности на природные объекты и ресурсы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Тема 1.5</w:t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Правовая охрана окружающей среды при осуществлении хозяйственной и иной деятельности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Тема 1.6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Понятия, особенности и виды ответственности за экологические правонарушения.</w:t>
            </w:r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возмещения вреда, причиненного экологическими правонарушениями.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1.1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Изучение действующего законодательства и  нормативно-правовых актов по критериям объектов окружающей среды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  <w:t>Практическое занятие №1.2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Правоприменительная практика и анализ судебных решений в области охраны окружающей среды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Порядок взимания платы за негативное воздействие на окружающую среду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Процедура разрешения на воздействия на окружающую среду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УК-2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ИД-УК-2.1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ИД-УК-2.3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УК-11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ИД-УК-11.1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ИД-УК-11.4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ОПК-3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ИД-ОПК-3.3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22"/>
                <w:szCs w:val="22"/>
                <w:lang w:val="ru-RU"/>
              </w:rPr>
            </w:pPr>
            <w:r>
              <w:rPr>
                <w:rFonts w:hint="default" w:cs="Arial"/>
                <w:sz w:val="22"/>
                <w:szCs w:val="22"/>
                <w:lang w:val="ru-RU"/>
              </w:rPr>
              <w:t>ИД-ПК-3.1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cs="Arial"/>
                <w:sz w:val="18"/>
                <w:szCs w:val="18"/>
                <w:lang w:val="ru-RU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Основы законодательства в области</w:t>
            </w:r>
            <w:r>
              <w:rPr>
                <w:rFonts w:hint="default" w:eastAsia="Times New Roman" w:cs="Times New Roman"/>
                <w:b/>
                <w:lang w:val="en-US" w:eastAsia="ru-RU"/>
              </w:rPr>
              <w:t xml:space="preserve"> безопасности жизнедеятельности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6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основы экологической безопасности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Структура природоохранных органов в РФ.</w:t>
            </w:r>
          </w:p>
          <w:p>
            <w:pPr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Полномочия органов государственной власти и органов местного самоуправления в сфере отношения, связанных с охраной окружающей среды.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использования природных ресурсов.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Экономический механизм охраны окружающей природной среды и рациональное использование природных ресурсов.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1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Порядок обращения в органы государственной власти и органы самоуправления по фактам нарушений природоохранного законодательства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Определение видов юридической ответственности за совершение экологических правоотношений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highlight w:val="yellow"/>
                <w:lang w:val="ru-RU"/>
              </w:rPr>
            </w:pPr>
            <w:r>
              <w:rPr>
                <w:i w:val="0"/>
                <w:iCs w:val="0"/>
                <w:highlight w:val="none"/>
                <w:lang w:val="ru-RU"/>
              </w:rPr>
              <w:t>Устное</w:t>
            </w:r>
            <w:r>
              <w:rPr>
                <w:rFonts w:hint="default"/>
                <w:i w:val="0"/>
                <w:iCs w:val="0"/>
                <w:highlight w:val="none"/>
                <w:lang w:val="ru-RU"/>
              </w:rPr>
              <w:t xml:space="preserve"> собеседование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шестой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/>
                <w:i w:val="0"/>
                <w:iCs/>
                <w:highlight w:val="none"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highlight w:val="none"/>
                <w:lang w:val="ru-RU"/>
              </w:rPr>
            </w:pPr>
            <w:r>
              <w:rPr>
                <w:rFonts w:hint="default"/>
                <w:b/>
                <w:highlight w:val="none"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</w:tbl>
    <w:p>
      <w:pPr>
        <w:pStyle w:val="62"/>
        <w:numPr>
          <w:ilvl w:val="0"/>
          <w:numId w:val="0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  <w:bookmarkStart w:id="11" w:name="_GoBack"/>
      <w:bookmarkEnd w:id="11"/>
    </w:p>
    <w:p>
      <w:pPr>
        <w:pStyle w:val="3"/>
      </w:pPr>
      <w:r>
        <w:t xml:space="preserve">Краткое содержание </w:t>
      </w:r>
      <w:r>
        <w:rPr>
          <w:i w:val="0"/>
          <w:iCs w:val="0"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62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Основы законодательства в области охраны окружающей среды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Введение в основы законодательства в области охраны окружающей среды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 w:eastAsia="Times New Roman" w:cs="Times New Roman"/>
                <w:lang w:val="en-US" w:eastAsia="ru-RU"/>
              </w:rPr>
              <w:t>Цели и задачи изучения экологического права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Понятие, предмет, метод, система, структура и принципы экологического права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Основные термины и понятия.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Направления государственной политики в области экологии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lang w:val="ru-RU" w:eastAsia="zh-CN"/>
              </w:rPr>
            </w:pPr>
            <w:r>
              <w:rPr>
                <w:rFonts w:hint="default"/>
                <w:lang w:val="ru-RU" w:eastAsia="zh-CN"/>
              </w:rPr>
              <w:t>Обеспечение устойчивого природопользования. Снижение загрязнения окружающей среды и ресурсосбережение. Сохранение и восстановление природной среды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Источники экологического права.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Система источников.</w:t>
            </w:r>
          </w:p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Нормы экологического права, содержащиеся в нормативно-правовых актах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 w:eastAsia="Times New Roman" w:cs="Times New Roman"/>
                <w:lang w:val="en-US" w:eastAsia="ru-RU"/>
              </w:rPr>
              <w:t>Нормативно-правовые акты, содержащие правовые нормы, регулирующие экологические отношения. Законы, указы, постановления и распоряжения, нормативные акты министерств и ведомств, законы и нормативно-правовые акты субъектов Федерации.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1.4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Право собственности на природные объекты и ресурсы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 w:eastAsia="Times New Roman" w:cs="Times New Roman"/>
                <w:lang w:val="en-US" w:eastAsia="ru-RU"/>
              </w:rPr>
              <w:t>Понятие природного объекта и его правовой классификации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Право собственности на природные объекты. Основные формы и признаки права собственности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Право природопользования. Понятие и виды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Возникновение, изменение и прекращение права природопользования</w:t>
            </w:r>
            <w:r>
              <w:rPr>
                <w:rFonts w:hint="default" w:eastAsia="Times New Roman" w:cs="Times New Roman"/>
                <w:lang w:val="ru-RU" w:eastAsia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1.5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Правовая охрана окружающей среды при осуществлении хозяйственной и иной деятельности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 w:eastAsia="Times New Roman" w:cs="Times New Roman"/>
                <w:lang w:val="en-US" w:eastAsia="ru-RU"/>
              </w:rPr>
              <w:t>Охрана окружающей среды при эксплуатации предприятий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Охрана окружающей среды в энергетике и военной деятельности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Охрана окружающей среды в городах и населенных пунктах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Охрана зеленого фонда городских и сельских поселений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Охрана окружающей среды в сельском хозяйстве.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1.6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Понятия, особенности и виды ответственности за экологические правонарушения.</w:t>
            </w:r>
          </w:p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возмещения вреда, причиненного экологическими правонарушениями.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 w:eastAsia="Times New Roman" w:cs="Times New Roman"/>
                <w:lang w:val="en-US" w:eastAsia="ru-RU"/>
              </w:rPr>
              <w:t>Понятие и виды юридической ответственности за нанесение ущерба окружающей среде</w:t>
            </w:r>
            <w:r>
              <w:rPr>
                <w:rFonts w:hint="default" w:eastAsia="Times New Roman" w:cs="Times New Roman"/>
                <w:lang w:val="ru-RU" w:eastAsia="ru-RU"/>
              </w:rPr>
              <w:t>.</w:t>
            </w:r>
            <w:r>
              <w:rPr>
                <w:rFonts w:hint="default" w:eastAsia="Times New Roman" w:cs="Times New Roman"/>
                <w:lang w:val="en-US" w:eastAsia="ru-RU"/>
              </w:rPr>
              <w:t xml:space="preserve"> Понятие экологического правонарушения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Уголовная ответственность за экологические преступления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Административная ответственность за экологические правонарушения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Гражданско-правовая ответственность в области охраны окружающей среды и возмещение нанесенного вреда здоровью и имуществу граждан. Материальная ответственность за нанесенный ущерб окружающей среде</w:t>
            </w:r>
            <w:r>
              <w:rPr>
                <w:rFonts w:hint="default" w:eastAsia="Times New Roman" w:cs="Times New Roman"/>
                <w:lang w:val="ru-RU" w:eastAsia="ru-RU"/>
              </w:rPr>
              <w:t xml:space="preserve">. </w:t>
            </w:r>
            <w:r>
              <w:rPr>
                <w:rFonts w:hint="default" w:eastAsia="Times New Roman" w:cs="Times New Roman"/>
                <w:lang w:val="en-US" w:eastAsia="ru-RU"/>
              </w:rPr>
              <w:t>Характеристика экологических правонарушений в сфере производственной деятельности.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Основы законодательства в области</w:t>
            </w:r>
            <w:r>
              <w:rPr>
                <w:rFonts w:hint="default" w:eastAsia="Times New Roman" w:cs="Times New Roman"/>
                <w:b/>
                <w:lang w:val="en-US" w:eastAsia="ru-RU"/>
              </w:rPr>
              <w:t xml:space="preserve"> безопасности жизнедеятельности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основы экологической безопасности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 w:eastAsia="Times New Roman" w:cs="Times New Roman"/>
                <w:lang w:val="ru-RU" w:eastAsia="ru-RU"/>
              </w:rPr>
              <w:t xml:space="preserve">Основные понятия экологической безопасности. </w:t>
            </w:r>
            <w:r>
              <w:rPr>
                <w:rFonts w:hint="default" w:eastAsia="Times New Roman" w:cs="Times New Roman"/>
                <w:lang w:val="en-US" w:eastAsia="ru-RU"/>
              </w:rPr>
              <w:t>Требования к обеспечению экологической безопасности</w:t>
            </w:r>
            <w:r>
              <w:rPr>
                <w:rFonts w:hint="default" w:eastAsia="Times New Roman" w:cs="Times New Roman"/>
                <w:lang w:val="ru-RU" w:eastAsia="ru-RU"/>
              </w:rPr>
              <w:t>. Государственная политика в области экологической безопасности.</w:t>
            </w:r>
            <w:r>
              <w:rPr>
                <w:rFonts w:hint="default" w:eastAsia="Times New Roman" w:cs="Times New Roman"/>
                <w:lang w:val="en-US" w:eastAsia="ru-RU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Структура природоохранных органов в РФ.</w:t>
            </w:r>
          </w:p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Полномочия органов государственной власти и органов местного самоуправления в сфере отношения, связанных с охраной окружающей среды.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Определение основных направлений охраны окружающей среды на территории субъекта Российской Федерации. Реализация федеральной политики в области экологического развития Российской Федерации на территории субъекта Российской Федерации. 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законодательством.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Право принятия и реализации региональных программ в области охраны окружающей среды. Экологический мониторинг, экологическая экспертиза.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использования природных ресурсов.</w:t>
            </w:r>
          </w:p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Экономический механизм охраны окружающей природной среды и рациональное использование природных ресурсов.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Методы экономического регулирования в области охраны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окружающей среды. Государственные стандарты и лицензирование отдельных видов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деятельности в области охраны окружающей среды. Нормирование в области охраны окружающей среды. Экологическая сертификация в области охраны окружающей среды. Плата за негативное воздействие на окружающую среду.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проведение консультаций перед </w:t>
      </w:r>
      <w:r>
        <w:rPr>
          <w:i w:val="0"/>
          <w:iCs/>
          <w:sz w:val="24"/>
          <w:szCs w:val="24"/>
          <w:lang w:val="ru-RU"/>
        </w:rPr>
        <w:t>зачетом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Основы законодательства в области охраны окружающей среды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Введение в основы законодательства в области охраны окружающей среды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Направления государственной политики в области экологии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Источники экологического права.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Система источников.</w:t>
            </w:r>
          </w:p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Нормы экологического права, содержащиеся в нормативно-правовых актах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Право собственности на природные объекты и ресурсы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Правовая охрана окружающей среды при осуществлении хозяйственной и иной деятельности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1.6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Понятия, особенности и виды ответственности за экологические правонарушения.</w:t>
            </w:r>
          </w:p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возмещения вреда, причиненного экологическими правонарушениями.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Подготовка реферата по разделу </w:t>
            </w:r>
            <w:r>
              <w:rPr>
                <w:rFonts w:hint="default"/>
                <w:b w:val="0"/>
                <w:bCs/>
                <w:lang w:val="en-US"/>
              </w:rPr>
              <w:t>I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Основы законодательства в области</w:t>
            </w:r>
            <w:r>
              <w:rPr>
                <w:rFonts w:hint="default" w:eastAsia="Times New Roman" w:cs="Times New Roman"/>
                <w:b/>
                <w:lang w:val="en-US" w:eastAsia="ru-RU"/>
              </w:rPr>
              <w:t xml:space="preserve"> безопасности жизнедеятельности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основы экологической безопасности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/>
                <w:i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Структура природоохранных органов в РФ.</w:t>
            </w:r>
          </w:p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Полномочия органов государственной власти и органов местного самоуправления в сфере отношения, связанных с охраной окружающей среды.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i w:val="0"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Правовые формы использования природных ресурсов.</w:t>
            </w:r>
          </w:p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Экономический механизм охраны окружающей природной среды и рациональное использование природных ресурсов.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i w:val="0"/>
                <w:iCs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Подготовка к тестированию по разделу </w:t>
            </w:r>
            <w:r>
              <w:rPr>
                <w:rFonts w:hint="default"/>
                <w:i w:val="0"/>
                <w:iCs/>
                <w:lang w:val="en-US"/>
              </w:rPr>
              <w:t>II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К</w:t>
            </w:r>
            <w:r>
              <w:rPr>
                <w:i w:val="0"/>
                <w:iCs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red"/>
                <w:lang w:val="ru-RU"/>
              </w:rPr>
            </w:pPr>
            <w:r>
              <w:rPr>
                <w:i w:val="0"/>
                <w:iCs/>
              </w:rPr>
              <w:t xml:space="preserve">выполненных работ в текущей 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rFonts w:hint="default"/>
                <w:i w:val="0"/>
                <w:iCs/>
                <w:lang w:val="ru-RU"/>
              </w:rPr>
              <w:t xml:space="preserve"> промежуточной </w:t>
            </w:r>
            <w:r>
              <w:rPr>
                <w:i w:val="0"/>
                <w:iCs/>
              </w:rPr>
              <w:t>аттестации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2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 w:val="0"/>
                <w:bCs/>
                <w:sz w:val="22"/>
                <w:szCs w:val="22"/>
                <w:highlight w:val="none"/>
                <w:lang w:val="ru-RU"/>
              </w:rPr>
              <w:t>УК</w:t>
            </w: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-2</w:t>
            </w:r>
          </w:p>
          <w:p>
            <w:pP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ИД-УК-2.1</w:t>
            </w:r>
          </w:p>
          <w:p>
            <w:pP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ИД-УК-2.3</w:t>
            </w:r>
          </w:p>
          <w:p>
            <w:pP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УК-11</w:t>
            </w:r>
          </w:p>
          <w:p>
            <w:pP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ИД-УК-11.1</w:t>
            </w:r>
          </w:p>
          <w:p>
            <w:pPr>
              <w:rPr>
                <w:rFonts w:hint="default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lang w:val="ru-RU"/>
              </w:rPr>
              <w:t>ИД-УК-11.4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  <w:t>ОПК-3</w:t>
            </w:r>
          </w:p>
          <w:p>
            <w:pP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  <w:t>ИД-ОПК-3.1</w:t>
            </w:r>
          </w:p>
          <w:p>
            <w:pP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  <w:t>ИД-ОПК-3.2</w:t>
            </w:r>
          </w:p>
          <w:p>
            <w:pP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 w:bidi="ar"/>
              </w:rPr>
              <w:t>ИД-ОПК-3.3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ПК-</w:t>
            </w: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3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en-US" w:eastAsia="zh-CN"/>
              </w:rPr>
              <w:t>ИД-ПК-</w:t>
            </w:r>
            <w:r>
              <w:rPr>
                <w:rFonts w:hint="default"/>
                <w:i w:val="0"/>
                <w:iCs/>
                <w:sz w:val="22"/>
                <w:szCs w:val="22"/>
                <w:highlight w:val="none"/>
                <w:lang w:val="ru-RU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 w:val="0"/>
                <w:iCs w:val="0"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  <w:lang w:val="ru-RU"/>
              </w:rPr>
              <w:t>в</w:t>
            </w:r>
            <w:r>
              <w:rPr>
                <w:rFonts w:hint="default"/>
                <w:i w:val="0"/>
                <w:iCs/>
                <w:sz w:val="21"/>
                <w:szCs w:val="21"/>
                <w:lang w:val="ru-RU"/>
              </w:rPr>
              <w:t xml:space="preserve"> совершенстве использует свои знания законодательства в области охраны окружающей среды и безопасности жизнедеятельности для решения практических задач в своей профессиональной сфере;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>
              <w:rPr>
                <w:rFonts w:eastAsia="Times New Roman"/>
                <w:i w:val="0"/>
                <w:iCs/>
                <w:sz w:val="21"/>
                <w:szCs w:val="21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</w:pPr>
            <w:r>
              <w:rPr>
                <w:i w:val="0"/>
                <w:iCs w:val="0"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>свободно осуществляет поиск нормативно-правовых актов, необходимых для решения профессиональных задач;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 w:val="0"/>
                <w:iCs w:val="0"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 w:val="0"/>
                <w:iCs w:val="0"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в совершенстве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нает и применяет основные принципы и этапы разработки нормативно-правовой и технической документации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о вопросам защиты окружающей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в совершенстве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и умеет анализировать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охраны окружающей среды и безопасности жизнедеятельности;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способен грамотно составить необходимую документацию экологической отчетности с учетом действующего законодательства;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  <w:lang w:val="ru-RU"/>
              </w:rPr>
              <w:t>способен</w:t>
            </w:r>
            <w:r>
              <w:rPr>
                <w:rFonts w:hint="default"/>
                <w:i w:val="0"/>
                <w:iCs/>
                <w:sz w:val="21"/>
                <w:szCs w:val="21"/>
                <w:lang w:val="ru-RU"/>
              </w:rPr>
              <w:t xml:space="preserve"> использовать свои знания законодательства в области охраны окружающей среды и безопасности жизнедеятельности для решения практических задач в своей профессиональной сфере;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>способен осуществлять поиск нормативно-правовых актов, необходимых для решения профессиональных задач;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ориентируется в учебной и профессиональной литературе;</w:t>
            </w:r>
          </w:p>
          <w:p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нает и применяет основные принципы и этапы разработки нормативно-правовой и технической документации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о вопросам защиты окружающей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и умеет анализировать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охраны окружающей среды и безопасности жизнедеятельности;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способен составить необходимую документацию экологической отчетности с учетом действующего законодательства;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зачтено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1"/>
                <w:szCs w:val="21"/>
              </w:rPr>
            </w:pPr>
            <w:r>
              <w:rPr>
                <w:rFonts w:hint="default"/>
                <w:i w:val="0"/>
                <w:iCs/>
                <w:sz w:val="21"/>
                <w:szCs w:val="21"/>
                <w:lang w:val="ru-RU"/>
              </w:rPr>
              <w:t>Испытывает затруднения при использовании своих знаний законодательства в области охраны окружающей среды и безопасности жизнедеятельности для решения практических задач в своей профессиональной сфере;</w:t>
            </w:r>
          </w:p>
          <w:p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>
            <w:pPr>
              <w:numPr>
                <w:ilvl w:val="0"/>
                <w:numId w:val="0"/>
              </w:numPr>
              <w:tabs>
                <w:tab w:val="left" w:pos="317"/>
              </w:tabs>
              <w:ind w:leftChars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rFonts w:hint="default"/>
                <w:i w:val="0"/>
                <w:iCs/>
                <w:sz w:val="21"/>
                <w:szCs w:val="21"/>
                <w:lang w:val="ru-RU"/>
              </w:rPr>
              <w:t>испытывает затруднения при  поиске нормативно-правовых актов, необходимых для решения профессиональных задач;</w:t>
            </w:r>
          </w:p>
          <w:p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  <w:lang w:val="ru-RU"/>
              </w:rPr>
              <w:t>слабо</w:t>
            </w:r>
            <w:r>
              <w:rPr>
                <w:rFonts w:hint="default"/>
                <w:i w:val="0"/>
                <w:iCs/>
                <w:sz w:val="21"/>
                <w:szCs w:val="21"/>
                <w:lang w:val="ru-RU"/>
              </w:rPr>
              <w:t xml:space="preserve"> </w:t>
            </w:r>
            <w:r>
              <w:rPr>
                <w:i w:val="0"/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i w:val="0"/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Обучающийся</w:t>
            </w:r>
            <w:r>
              <w:rPr>
                <w:rFonts w:hint="default"/>
                <w:i/>
                <w:iCs/>
                <w:sz w:val="21"/>
                <w:szCs w:val="21"/>
                <w:lang w:val="ru-RU"/>
              </w:rPr>
              <w:t>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слабо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 xml:space="preserve">нает и применяет основные принципы и этапы разработки нормативно-правовой и технической документации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  <w:t>о вопросам защиты окружающей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слабо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 xml:space="preserve">знает и умеет анализировать основные </w:t>
            </w:r>
            <w:r>
              <w:rPr>
                <w:rFonts w:hint="default"/>
                <w:highlight w:val="none"/>
                <w:shd w:val="clear" w:color="auto" w:fill="auto"/>
                <w:lang w:val="ru-RU" w:eastAsia="en-US"/>
              </w:rPr>
              <w:t xml:space="preserve">нормативные 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правовые акты в области охраны окружающей среды и безопасности жизнедеятельности;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shd w:val="clear" w:color="auto" w:fill="auto"/>
                <w:lang w:val="ru-RU" w:eastAsia="en-US" w:bidi="ar-SA"/>
              </w:rPr>
              <w:t>испытывает затруднения в составлении необходимой документации экологической отчетности с учетом действующего законодательства;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i w:val="0"/>
                <w:iCs w:val="0"/>
                <w:sz w:val="22"/>
                <w:szCs w:val="22"/>
                <w:highlight w:val="none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2"/>
                <w:szCs w:val="22"/>
                <w:highlight w:val="none"/>
                <w:lang w:val="ru-RU"/>
              </w:rPr>
              <w:t xml:space="preserve"> по предмету, </w:t>
            </w:r>
            <w:r>
              <w:rPr>
                <w:i w:val="0"/>
                <w:iCs w:val="0"/>
                <w:sz w:val="22"/>
                <w:szCs w:val="22"/>
                <w:highlight w:val="none"/>
              </w:rPr>
              <w:t>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i w:val="0"/>
                <w:iCs w:val="0"/>
                <w:sz w:val="22"/>
                <w:szCs w:val="22"/>
                <w:highlight w:val="none"/>
              </w:rPr>
              <w:t>испытывает серьёзные затруднения в применении теоретических положений при решении практических задач</w:t>
            </w:r>
            <w:r>
              <w:rPr>
                <w:rFonts w:hint="default"/>
                <w:i w:val="0"/>
                <w:iCs w:val="0"/>
                <w:sz w:val="22"/>
                <w:szCs w:val="22"/>
                <w:highlight w:val="none"/>
                <w:lang w:val="ru-RU"/>
              </w:rPr>
              <w:t xml:space="preserve"> с учетом действующего законодательства в области охраны окружающей среды и безопасности жизнедеятельности</w:t>
            </w:r>
            <w:r>
              <w:rPr>
                <w:i w:val="0"/>
                <w:iCs w:val="0"/>
                <w:sz w:val="22"/>
                <w:szCs w:val="22"/>
                <w:highlight w:val="none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  <w:highlight w:val="none"/>
              </w:rPr>
            </w:pPr>
            <w:r>
              <w:rPr>
                <w:i w:val="0"/>
                <w:iCs w:val="0"/>
                <w:sz w:val="22"/>
                <w:szCs w:val="22"/>
                <w:highlight w:val="none"/>
              </w:rPr>
              <w:t xml:space="preserve">не способен </w:t>
            </w:r>
            <w:r>
              <w:rPr>
                <w:i w:val="0"/>
                <w:iCs w:val="0"/>
                <w:sz w:val="22"/>
                <w:szCs w:val="22"/>
                <w:highlight w:val="none"/>
                <w:lang w:val="ru-RU"/>
              </w:rPr>
              <w:t>осуществить</w:t>
            </w:r>
            <w:r>
              <w:rPr>
                <w:rFonts w:hint="default"/>
                <w:i w:val="0"/>
                <w:iCs w:val="0"/>
                <w:sz w:val="22"/>
                <w:szCs w:val="22"/>
                <w:highlight w:val="none"/>
                <w:lang w:val="ru-RU"/>
              </w:rPr>
              <w:t xml:space="preserve"> сбор и анализ нормативно-правовой информации;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  <w:highlight w:val="none"/>
              </w:rPr>
            </w:pP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highlight w:val="none"/>
                <w:lang w:val="ru-RU"/>
              </w:rPr>
              <w:t xml:space="preserve">не ориентируется в нормативно-правовой базе </w:t>
            </w:r>
            <w:r>
              <w:rPr>
                <w:rFonts w:ascii="Times" w:hAnsi="Times"/>
                <w:sz w:val="22"/>
                <w:szCs w:val="22"/>
                <w:highlight w:val="none"/>
              </w:rPr>
              <w:t xml:space="preserve"> в области </w:t>
            </w:r>
            <w:r>
              <w:rPr>
                <w:rFonts w:ascii="Times" w:hAnsi="Times"/>
                <w:sz w:val="22"/>
                <w:szCs w:val="22"/>
                <w:highlight w:val="none"/>
                <w:lang w:val="ru-RU"/>
              </w:rPr>
              <w:t>охраны</w:t>
            </w:r>
            <w:r>
              <w:rPr>
                <w:rFonts w:hint="default" w:ascii="Times" w:hAnsi="Times"/>
                <w:sz w:val="22"/>
                <w:szCs w:val="22"/>
                <w:highlight w:val="none"/>
                <w:lang w:val="ru-RU"/>
              </w:rPr>
              <w:t xml:space="preserve"> окружающей среды и безопасности жизнедеятельности;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  <w:highlight w:val="none"/>
              </w:rPr>
            </w:pPr>
            <w:r>
              <w:rPr>
                <w:i w:val="0"/>
                <w:iCs w:val="0"/>
                <w:sz w:val="22"/>
                <w:szCs w:val="22"/>
                <w:highlight w:val="none"/>
                <w:lang w:val="ru-RU"/>
              </w:rPr>
              <w:t>не</w:t>
            </w:r>
            <w:r>
              <w:rPr>
                <w:rFonts w:hint="default"/>
                <w:i w:val="0"/>
                <w:iCs w:val="0"/>
                <w:sz w:val="22"/>
                <w:szCs w:val="22"/>
                <w:highlight w:val="none"/>
                <w:lang w:val="ru-RU"/>
              </w:rPr>
              <w:t xml:space="preserve"> знает принципов составления экологической документации;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  <w:highlight w:val="none"/>
              </w:rPr>
            </w:pPr>
            <w:r>
              <w:rPr>
                <w:i w:val="0"/>
                <w:iCs/>
                <w:sz w:val="22"/>
                <w:szCs w:val="22"/>
                <w:highlight w:val="none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  <w:highlight w:val="none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Основы законодательства в области охраны окружающей среды и безопасности жизнедеятельности</w:t>
      </w:r>
      <w:r>
        <w:rPr>
          <w:rFonts w:hint="default" w:eastAsia="Times New Roman"/>
          <w:bCs/>
          <w:sz w:val="24"/>
          <w:szCs w:val="24"/>
          <w:lang w:val="ru-RU"/>
        </w:rPr>
        <w:t>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Тест №1 по разделу </w:t>
            </w:r>
            <w:r>
              <w:rPr>
                <w:rFonts w:hint="default"/>
                <w:b w:val="0"/>
                <w:bCs w:val="0"/>
                <w:i w:val="0"/>
                <w:iCs/>
                <w:lang w:val="en-US"/>
              </w:rPr>
              <w:t xml:space="preserve">I 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lang w:eastAsia="ru-RU"/>
              </w:rPr>
              <w:t>Основы законодательства в области охраны окружающей среды</w:t>
            </w:r>
            <w:r>
              <w:rPr>
                <w:rFonts w:hint="default" w:eastAsia="Times New Roman" w:cs="Times New Roman"/>
                <w:b w:val="0"/>
                <w:bCs w:val="0"/>
                <w:i w:val="0"/>
                <w:iCs/>
                <w:lang w:val="en-US" w:eastAsia="ru-RU"/>
              </w:rPr>
              <w:t>»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Основной комплексный законодательный акт, регулирующий общественные отношения в сфере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Экологическая доктрина Российской Федерации от 31 августа 2002 г.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ФЗ от 10.01.2002 г. «Об охране окружающей среды»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Конституция Российской Федерации </w:t>
            </w:r>
          </w:p>
          <w:p>
            <w:pPr>
              <w:numPr>
                <w:ilvl w:val="0"/>
                <w:numId w:val="16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Резолюция Генеральной Ассамблеи ООН от 29.101982 г. № 37/7 «Всемирная хартия природы»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Источник экологического права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содержащие правила поведения, регулирующие отношения человека с окружающей средой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равовой обычай, правовой прецедент, нормативный правовой акт и договор нормативного содержания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овокупность правовых норм, регулирующих экологически значимое поведение людей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Нормирование в области охраны окружающей среды осуществляется в целях …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1.Н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аблюдения за состоянием окружающей среды в районах расположения источников антропогенного воздействия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аблюдения за состоянием воздействия источников антропогенного воздействия на окружающую среду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3. Г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осударственного регулирования воздействия хозяйственной и иной деятельности на окружающую среду </w:t>
            </w:r>
          </w:p>
          <w:p>
            <w:pPr>
              <w:numPr>
                <w:ilvl w:val="0"/>
                <w:numId w:val="0"/>
              </w:numPr>
              <w:tabs>
                <w:tab w:val="left" w:pos="346"/>
              </w:tabs>
              <w:ind w:lef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4. 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беспечения потребности государства, юридических и физических лиц в достоверной информации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Объекты экологических правоотношений...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Предметы материального мира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Земля, недра, почвы, воды, растительный и животный мир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бъекты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Естественные экосистемы, природные ландшафты и комплексы, заповедники, парки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 xml:space="preserve">В РФ </w:t>
            </w: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в систему нормативов, как важнейшего инструмента охраны атмосферного воздуха, включены предельно допустимые…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Уровни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Вредные физические воздействия на атмосферный воздух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jc w:val="left"/>
              <w:rPr>
                <w:rFonts w:hint="default"/>
                <w:i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Выбросы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jc w:val="left"/>
              <w:rPr>
                <w:rFonts w:hint="default"/>
                <w:i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Вредного физического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Реферат по 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разделу </w:t>
            </w:r>
            <w:r>
              <w:rPr>
                <w:rFonts w:hint="default"/>
                <w:b w:val="0"/>
                <w:bCs w:val="0"/>
                <w:i w:val="0"/>
                <w:iCs/>
                <w:lang w:val="en-US"/>
              </w:rPr>
              <w:t xml:space="preserve">I 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lang w:eastAsia="ru-RU"/>
              </w:rPr>
              <w:t>Основы законодательства в области охраны окружающей среды</w:t>
            </w:r>
            <w:r>
              <w:rPr>
                <w:rFonts w:hint="default" w:eastAsia="Times New Roman" w:cs="Times New Roman"/>
                <w:b w:val="0"/>
                <w:bCs w:val="0"/>
                <w:i w:val="0"/>
                <w:iCs/>
                <w:lang w:val="en-US" w:eastAsia="ru-RU"/>
              </w:rPr>
              <w:t>»</w:t>
            </w:r>
          </w:p>
        </w:tc>
        <w:tc>
          <w:tcPr>
            <w:tcW w:w="9723" w:type="dxa"/>
          </w:tcPr>
          <w:p>
            <w:pPr>
              <w:ind w:left="42"/>
              <w:rPr>
                <w:rFonts w:hint="default"/>
                <w:b w:val="0"/>
                <w:bCs w:val="0"/>
                <w:i w:val="0"/>
                <w:iCs/>
              </w:rPr>
            </w:pP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Темы рефератов:</w:t>
            </w:r>
          </w:p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hint="default"/>
                <w:b w:val="0"/>
                <w:bCs w:val="0"/>
                <w:i w:val="0"/>
                <w:iCs/>
              </w:rPr>
            </w:pPr>
            <w:r>
              <w:rPr>
                <w:rFonts w:hint="default"/>
                <w:b w:val="0"/>
                <w:bCs w:val="0"/>
                <w:i w:val="0"/>
                <w:iCs/>
              </w:rPr>
              <w:t>Становление и развитие системы правового регулирования в области охраны окружающей среды</w:t>
            </w:r>
          </w:p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hint="default"/>
                <w:b w:val="0"/>
                <w:bCs w:val="0"/>
                <w:i w:val="0"/>
                <w:iCs/>
              </w:rPr>
            </w:pPr>
            <w:r>
              <w:rPr>
                <w:rFonts w:hint="default"/>
                <w:b w:val="0"/>
                <w:bCs w:val="0"/>
                <w:i w:val="0"/>
                <w:iCs/>
              </w:rPr>
              <w:t>Экологическая политика как реакция общества и государства на экологический кризис.</w:t>
            </w:r>
          </w:p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hint="default"/>
                <w:b w:val="0"/>
                <w:bCs w:val="0"/>
                <w:i w:val="0"/>
                <w:iCs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</w:rPr>
              <w:t>Государственная стратегия РФ по охране окружающей среды и обеспечению устойчивого развития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</w:rPr>
              <w:t>Основания возникновения, изменения и прекращения экологических правоотношений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b w:val="0"/>
                <w:bCs w:val="0"/>
                <w:i w:val="0"/>
                <w:iCs/>
              </w:rPr>
              <w:t>Содержание экологических правоотношений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en-US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Тест №2 по разделу </w:t>
            </w:r>
            <w:r>
              <w:rPr>
                <w:rFonts w:hint="default"/>
                <w:i w:val="0"/>
                <w:iCs/>
                <w:sz w:val="22"/>
                <w:szCs w:val="22"/>
                <w:lang w:val="en-US"/>
              </w:rPr>
              <w:t xml:space="preserve">II 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eastAsia="ru-RU"/>
              </w:rPr>
              <w:t>Основы законодательства в области</w:t>
            </w:r>
            <w:r>
              <w:rPr>
                <w:rFonts w:hint="default" w:eastAsia="Times New Roman" w:cs="Times New Roman"/>
                <w:b w:val="0"/>
                <w:bCs w:val="0"/>
                <w:lang w:val="en-US" w:eastAsia="ru-RU"/>
              </w:rPr>
              <w:t xml:space="preserve"> безопасности жизнедеятельности»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21"/>
              </w:numPr>
              <w:spacing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Какое определение соответствует понятию "охрана окружающей среды" согласно Федеральному закону N 7-ФЗ "Об охране окружающей среды"? Выберите два правильных варианта ответа.</w:t>
            </w:r>
          </w:p>
          <w:p>
            <w:pPr>
              <w:spacing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*Может быть несколько верных вариантов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ru-RU"/>
              </w:rPr>
            </w:pPr>
            <w:r>
              <w:rPr>
                <w:rFonts w:hint="default"/>
                <w:sz w:val="22"/>
                <w:szCs w:val="22"/>
                <w:u w:val="none"/>
                <w:lang w:val="ru-RU"/>
              </w:rPr>
              <w:t>Деятельность органов государственной власти Российской Федерации, направленная на сохранение, восстановление природной среды, рациональное использование, воспроизводство природных ресурсов.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ru-RU"/>
              </w:rPr>
            </w:pPr>
            <w:r>
              <w:rPr>
                <w:rFonts w:hint="default"/>
                <w:sz w:val="22"/>
                <w:szCs w:val="22"/>
                <w:u w:val="none"/>
                <w:lang w:val="ru-RU"/>
              </w:rPr>
              <w:t>Предотвращение негативного воздействия негативного воздействия хозяйственной и иной деятельности на окружающую среду и ликвидация ее последствий.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Эксплуатация природных ресурсов, вовлечение их в хозяйственный оборот, в том числе все виды воздействия на них в процессе хозяйственной и иной деятельности.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Поступление в окружающую среду вещества и (или) энергии, свойства, местоположения или количество которых оказывают негативное воздействие на окружающую среду.</w:t>
            </w:r>
          </w:p>
          <w:p>
            <w:pPr>
              <w:spacing w:line="240" w:lineRule="auto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numPr>
                <w:ilvl w:val="0"/>
                <w:numId w:val="21"/>
              </w:numPr>
              <w:spacing w:line="240" w:lineRule="auto"/>
              <w:ind w:left="0" w:leftChars="0" w:firstLine="709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Какой документ выдается уполномоченным федеральным органом исполнительной власти для осуществления хозяйственной и (или) иной деятельности на объекте, оказывающей негативное воздействие на окружающую среду, и содержит обязательные для выполнения требования согласно Федеральному закону N 7-ФЗ "Об охране окружающей среды"?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ru-RU"/>
              </w:rPr>
            </w:pPr>
            <w:r>
              <w:rPr>
                <w:rFonts w:hint="default"/>
                <w:sz w:val="22"/>
                <w:szCs w:val="22"/>
                <w:u w:val="none"/>
                <w:lang w:val="ru-RU"/>
              </w:rPr>
              <w:t>Комплексное экологическое разрешение.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Программа производственного экологического контроля.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Инвентаризация источников выбросов.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Отчет по результатам осуществления производственного экологического контроля.</w:t>
            </w:r>
          </w:p>
          <w:p>
            <w:pPr>
              <w:spacing w:line="240" w:lineRule="auto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numPr>
                <w:ilvl w:val="0"/>
                <w:numId w:val="21"/>
              </w:numPr>
              <w:spacing w:line="240" w:lineRule="auto"/>
              <w:ind w:left="0" w:leftChars="0" w:firstLine="709" w:firstLineChars="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Какое определение соответствует понятию "временно разрешенные сбросы" согласно Федеральному закону N 7-ФЗ "Об охране окружающей среды"?</w:t>
            </w:r>
          </w:p>
          <w:p>
            <w:pPr>
              <w:numPr>
                <w:ilvl w:val="0"/>
                <w:numId w:val="24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en-US"/>
              </w:rPr>
            </w:pPr>
            <w:r>
              <w:rPr>
                <w:rFonts w:hint="default"/>
                <w:sz w:val="22"/>
                <w:szCs w:val="22"/>
                <w:u w:val="none"/>
                <w:lang w:val="en-US"/>
              </w:rPr>
              <w:t>Объем или масса химических веществ либо смеси химических веществ, микроорганизмов, иных веществ в сточных водах,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эффективности.</w:t>
            </w:r>
          </w:p>
          <w:p>
            <w:pPr>
              <w:numPr>
                <w:ilvl w:val="0"/>
                <w:numId w:val="24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Установленные нормативы качества окружающей среды и нормативы допустимого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разнообразие.</w:t>
            </w:r>
          </w:p>
          <w:p>
            <w:pPr>
              <w:numPr>
                <w:ilvl w:val="0"/>
                <w:numId w:val="24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Нормативы выбросов загрязняющих веществ в атмосферный воздух, которые определяются как объем или масса химических веществ либо смеси химических веществ, микроорганизмов, иных веществ, как показатели активности радиоактивных веществ, допустимые для выброса в атмосферный воздух стационарными источниками.</w:t>
            </w:r>
          </w:p>
          <w:p>
            <w:pPr>
              <w:numPr>
                <w:ilvl w:val="0"/>
                <w:numId w:val="24"/>
              </w:numPr>
              <w:spacing w:line="240" w:lineRule="auto"/>
              <w:ind w:left="425" w:leftChars="0" w:hanging="425" w:firstLineChars="0"/>
              <w:rPr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Нормативы, которые установлены в соответствии с показателями предельно допустимого содержания химических веществ, в том числе радиоактивных, иных веществ и микроорганизмов в окружающей среде и несоблюдение которых может привести к загрязнению окружающей среды, деградации естественных экологических систем.</w:t>
            </w:r>
          </w:p>
          <w:p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  <w:p>
            <w:pPr>
              <w:numPr>
                <w:ilvl w:val="0"/>
                <w:numId w:val="21"/>
              </w:numPr>
              <w:spacing w:line="240" w:lineRule="auto"/>
              <w:ind w:left="0" w:leftChars="0" w:firstLine="709" w:firstLineChars="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На какой период допускаются временно разрешенные сбросы на водных объектах согласно Федеральному закону N 7-ФЗ "Об охране окружающей среды"? Выберите два правильных варианта ответа.</w:t>
            </w:r>
          </w:p>
          <w:p>
            <w:pPr>
              <w:spacing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*Может быть несколько верных вариантов</w:t>
            </w:r>
          </w:p>
          <w:p>
            <w:pPr>
              <w:numPr>
                <w:ilvl w:val="0"/>
                <w:numId w:val="25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en-US"/>
              </w:rPr>
            </w:pPr>
            <w:r>
              <w:rPr>
                <w:rFonts w:hint="default"/>
                <w:sz w:val="22"/>
                <w:szCs w:val="22"/>
                <w:u w:val="none"/>
                <w:lang w:val="en-US"/>
              </w:rPr>
              <w:t>На период выполнения плана мероприятий по охране окружающей среды или достижения технологических нормативов.</w:t>
            </w:r>
          </w:p>
          <w:p>
            <w:pPr>
              <w:numPr>
                <w:ilvl w:val="0"/>
                <w:numId w:val="25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u w:val="none"/>
                <w:lang w:val="en-US"/>
              </w:rPr>
            </w:pPr>
            <w:r>
              <w:rPr>
                <w:rFonts w:hint="default"/>
                <w:sz w:val="22"/>
                <w:szCs w:val="22"/>
                <w:u w:val="none"/>
                <w:lang w:val="en-US"/>
              </w:rPr>
              <w:t>На период выполнения реализации программы повышения экологической эффективности.</w:t>
            </w:r>
          </w:p>
          <w:p>
            <w:pPr>
              <w:numPr>
                <w:ilvl w:val="0"/>
                <w:numId w:val="25"/>
              </w:numPr>
              <w:spacing w:line="240" w:lineRule="auto"/>
              <w:ind w:left="425" w:leftChars="0" w:hanging="425" w:firstLineChars="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На период согласования программы повышения экологической эффективности.</w:t>
            </w:r>
          </w:p>
          <w:p>
            <w:pPr>
              <w:numPr>
                <w:ilvl w:val="0"/>
                <w:numId w:val="25"/>
              </w:numPr>
              <w:spacing w:line="240" w:lineRule="auto"/>
              <w:ind w:left="425" w:leftChars="0" w:hanging="425" w:firstLineChars="0"/>
              <w:rPr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На период разработки плана мероприятий по охране окружающей среды или достижения экологических мероприятий.</w:t>
            </w: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autoSpaceDN w:val="0"/>
              <w:adjustRightInd w:val="0"/>
              <w:spacing w:after="0" w:line="240" w:lineRule="auto"/>
              <w:jc w:val="both"/>
              <w:rPr>
                <w:rFonts w:hint="default"/>
                <w:sz w:val="22"/>
                <w:szCs w:val="22"/>
                <w:lang w:val="en-US"/>
              </w:rPr>
            </w:pPr>
          </w:p>
          <w:p>
            <w:pPr>
              <w:widowControl w:val="0"/>
              <w:numPr>
                <w:ilvl w:val="0"/>
                <w:numId w:val="21"/>
              </w:numPr>
              <w:overflowPunct w:val="0"/>
              <w:autoSpaceDN w:val="0"/>
              <w:adjustRightInd w:val="0"/>
              <w:spacing w:after="0" w:line="240" w:lineRule="auto"/>
              <w:ind w:left="0" w:leftChars="0" w:firstLine="709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Какое определение соответствует понятию "нормативы в области охраны окружающей среды" согласно Федеральному закону N 7-ФЗ "Об охране окружающей среды"?</w:t>
            </w:r>
          </w:p>
          <w:p>
            <w:pPr>
              <w:widowControl w:val="0"/>
              <w:numPr>
                <w:ilvl w:val="0"/>
                <w:numId w:val="26"/>
              </w:numPr>
              <w:overflowPunct w:val="0"/>
              <w:autoSpaceDN w:val="0"/>
              <w:adjustRightInd w:val="0"/>
              <w:spacing w:after="0" w:line="240" w:lineRule="auto"/>
              <w:ind w:left="425" w:leftChars="0" w:hanging="425" w:firstLineChars="0"/>
              <w:jc w:val="both"/>
              <w:rPr>
                <w:rFonts w:hint="default"/>
                <w:sz w:val="22"/>
                <w:szCs w:val="22"/>
                <w:u w:val="none"/>
                <w:lang w:val="en-US"/>
              </w:rPr>
            </w:pPr>
            <w:r>
              <w:rPr>
                <w:rFonts w:hint="default"/>
                <w:sz w:val="22"/>
                <w:szCs w:val="22"/>
                <w:u w:val="none"/>
                <w:lang w:val="en-US"/>
              </w:rPr>
              <w:t>Установленные нормативы качества окружающей среды, допустимого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разнообразие.</w:t>
            </w:r>
          </w:p>
          <w:p>
            <w:pPr>
              <w:widowControl w:val="0"/>
              <w:numPr>
                <w:ilvl w:val="0"/>
                <w:numId w:val="26"/>
              </w:numPr>
              <w:overflowPunct w:val="0"/>
              <w:autoSpaceDN w:val="0"/>
              <w:adjustRightInd w:val="0"/>
              <w:spacing w:after="0" w:line="240" w:lineRule="auto"/>
              <w:ind w:left="425" w:leftChars="0" w:hanging="425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среды.</w:t>
            </w:r>
          </w:p>
          <w:p>
            <w:pPr>
              <w:widowControl w:val="0"/>
              <w:numPr>
                <w:ilvl w:val="0"/>
                <w:numId w:val="26"/>
              </w:numPr>
              <w:overflowPunct w:val="0"/>
              <w:autoSpaceDN w:val="0"/>
              <w:adjustRightInd w:val="0"/>
              <w:spacing w:after="0" w:line="240" w:lineRule="auto"/>
              <w:ind w:left="425" w:leftChars="0" w:hanging="425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 благоприятная окружающая среда.</w:t>
            </w:r>
          </w:p>
          <w:p>
            <w:pPr>
              <w:widowControl w:val="0"/>
              <w:numPr>
                <w:ilvl w:val="0"/>
                <w:numId w:val="26"/>
              </w:numPr>
              <w:overflowPunct w:val="0"/>
              <w:autoSpaceDN w:val="0"/>
              <w:adjustRightInd w:val="0"/>
              <w:spacing w:after="0" w:line="240" w:lineRule="auto"/>
              <w:ind w:left="425" w:leftChars="0" w:hanging="425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Нормативы, которые установлены в соответствии с величиной допустимого совокупного воздействия всех источников на окружающую среду в пределах конкретных территорий и при соблюдении которых обеспечивается устойчивое функционирование естественных экологических систем.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46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</w:tr>
    </w:tbl>
    <w:p>
      <w:pPr>
        <w:pStyle w:val="62"/>
        <w:numPr>
          <w:ilvl w:val="1"/>
          <w:numId w:val="27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7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lang w:val="ru-RU"/>
              </w:rPr>
              <w:t>Тест</w:t>
            </w:r>
          </w:p>
          <w:p>
            <w:pPr>
              <w:rPr>
                <w:i/>
              </w:rPr>
            </w:pPr>
          </w:p>
        </w:tc>
        <w:tc>
          <w:tcPr>
            <w:tcW w:w="8080" w:type="dxa"/>
            <w:vMerge w:val="restart"/>
            <w:vAlign w:val="top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eastAsia="Arial Unicode MS" w:cs="Times New Roman"/>
                <w:i/>
                <w:color w:val="000000"/>
                <w:sz w:val="22"/>
                <w:szCs w:val="22"/>
                <w:lang w:val="ru-RU" w:eastAsia="ru-RU" w:bidi="ar-SA"/>
              </w:rPr>
            </w:pP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  <w:vAlign w:val="top"/>
          </w:tcPr>
          <w:p>
            <w:pPr>
              <w:pStyle w:val="91"/>
              <w:rPr>
                <w:rFonts w:hint="default" w:ascii="Times New Roman" w:hAnsi="Times New Roman" w:eastAsia="Calibri" w:cs="Times New Roman"/>
                <w:i w:val="0"/>
                <w:iCs/>
                <w:sz w:val="22"/>
                <w:szCs w:val="22"/>
                <w:lang w:val="ru-RU" w:eastAsia="en-US" w:bidi="ar-SA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  <w:p>
            <w:pPr>
              <w:pStyle w:val="91"/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25-30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19-24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12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11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en-US" w:eastAsia="en-US" w:bidi="ar-SA"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i w:val="0"/>
                <w:iCs/>
                <w:lang w:val="ru-RU"/>
              </w:rPr>
              <w:t>Зачет</w:t>
            </w:r>
            <w:r>
              <w:rPr>
                <w:i w:val="0"/>
                <w:iCs/>
              </w:rPr>
              <w:t xml:space="preserve">: </w:t>
            </w:r>
          </w:p>
          <w:p>
            <w:pPr>
              <w:jc w:val="both"/>
              <w:rPr>
                <w:rFonts w:hint="default"/>
                <w:i/>
                <w:lang w:val="ru-RU"/>
              </w:rPr>
            </w:pPr>
          </w:p>
        </w:tc>
        <w:tc>
          <w:tcPr>
            <w:tcW w:w="11340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Примерные вопросы: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425" w:leftChars="0" w:hanging="425" w:firstLineChars="0"/>
              <w:rPr>
                <w:rFonts w:hint="default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  <w:t>Цели и задачи изучения экологического права</w:t>
            </w:r>
            <w:r>
              <w:rPr>
                <w:rFonts w:hint="default" w:eastAsia="Times New Roman" w:cs="Times New Roman"/>
                <w:sz w:val="22"/>
                <w:szCs w:val="22"/>
                <w:lang w:val="ru-RU" w:eastAsia="ru-RU"/>
              </w:rPr>
              <w:t xml:space="preserve">. 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425" w:leftChars="0" w:hanging="425" w:firstLineChars="0"/>
              <w:rPr>
                <w:rFonts w:hint="default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  <w:t>Понятие, предмет, метод, система, структура и принципы экологического права</w:t>
            </w:r>
            <w:r>
              <w:rPr>
                <w:rFonts w:hint="default" w:eastAsia="Times New Roman" w:cs="Times New Roman"/>
                <w:sz w:val="22"/>
                <w:szCs w:val="22"/>
                <w:lang w:val="ru-RU" w:eastAsia="ru-RU"/>
              </w:rPr>
              <w:t xml:space="preserve">. 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425" w:leftChars="0" w:hanging="425" w:firstLineChars="0"/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  <w:t xml:space="preserve">Нормативно-правовые акты, содержащие правовые нормы, регулирующие экологические отношения. 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425" w:leftChars="0" w:hanging="425" w:firstLineChars="0"/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  <w:t>Законы, указы, постановления и распоряжения, нормативные акты министерств и ведомств, законы и нормативно-правовые акты субъектов Федерации.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425" w:leftChars="0" w:hanging="425" w:firstLineChars="0"/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 w:eastAsia="Times New Roman" w:cs="Times New Roman"/>
                <w:sz w:val="22"/>
                <w:szCs w:val="22"/>
                <w:lang w:val="en-US" w:eastAsia="ru-RU"/>
              </w:rPr>
              <w:t>Понятие природного объекта и его правовой классификации</w:t>
            </w:r>
            <w:r>
              <w:rPr>
                <w:rFonts w:hint="default" w:eastAsia="Times New Roman" w:cs="Times New Roman"/>
                <w:sz w:val="22"/>
                <w:szCs w:val="22"/>
                <w:lang w:val="ru-RU" w:eastAsia="ru-RU"/>
              </w:rPr>
              <w:t xml:space="preserve">. </w:t>
            </w:r>
          </w:p>
        </w:tc>
      </w:tr>
    </w:tbl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Зачет: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Устн</w:t>
            </w:r>
            <w:r>
              <w:rPr>
                <w:i w:val="0"/>
                <w:iCs/>
                <w:lang w:val="ru-RU"/>
              </w:rPr>
              <w:t>ое</w:t>
            </w:r>
            <w:r>
              <w:rPr>
                <w:rFonts w:hint="default"/>
                <w:i w:val="0"/>
                <w:iCs/>
                <w:lang w:val="ru-RU"/>
              </w:rPr>
              <w:t xml:space="preserve"> собеседование</w:t>
            </w: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дает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развернутые ответы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 – 30 </w:t>
            </w:r>
            <w:r>
              <w:t>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затруднения при ответах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 – 11</w:t>
            </w:r>
            <w: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не зачтено</w:t>
            </w:r>
          </w:p>
        </w:tc>
      </w:tr>
    </w:tbl>
    <w:p/>
    <w:p/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№1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№2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II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  <w:r>
              <w:rPr>
                <w:rFonts w:hint="default"/>
                <w:bCs/>
                <w:i w:val="0"/>
                <w:iCs/>
                <w:lang w:val="en-US"/>
              </w:rPr>
              <w:t>/</w:t>
            </w: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Зачтено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rFonts w:hint="default"/>
                <w:bCs/>
                <w:i w:val="0"/>
                <w:iCs/>
                <w:lang w:val="ru-RU"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</w:t>
            </w:r>
            <w:r>
              <w:rPr>
                <w:bCs/>
                <w:i w:val="0"/>
                <w:iCs/>
                <w:lang w:val="ru-RU"/>
              </w:rPr>
              <w:t>дисциплину</w:t>
            </w:r>
            <w:r>
              <w:rPr>
                <w:bCs/>
                <w:i w:val="0"/>
                <w:iCs/>
              </w:rPr>
              <w:t>)</w:t>
            </w:r>
          </w:p>
          <w:p>
            <w:pPr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/>
    <w:p>
      <w:pPr>
        <w:pStyle w:val="62"/>
        <w:numPr>
          <w:ilvl w:val="3"/>
          <w:numId w:val="2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62"/>
        <w:numPr>
          <w:ilvl w:val="3"/>
          <w:numId w:val="27"/>
        </w:numPr>
        <w:spacing w:before="120" w:after="120"/>
        <w:jc w:val="both"/>
        <w:rPr>
          <w:sz w:val="24"/>
          <w:szCs w:val="24"/>
        </w:rPr>
      </w:pPr>
    </w:p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7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iCs/>
          <w:color w:val="000000"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color w:val="000000"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7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7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7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30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9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Н.В. Барбашова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Экологическое право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ascii="Times New Roman" w:hAnsi="Times New Roman" w:cs="Times New Roman" w:eastAsiaTheme="minorEastAsia"/>
                <w:i/>
                <w:color w:val="000000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учебник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Москва 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en-US" w:eastAsia="ar-SA" w:bidi="ar-SA"/>
              </w:rPr>
            </w:pPr>
            <w:r>
              <w:rPr>
                <w:rFonts w:hint="default"/>
                <w:i w:val="0"/>
                <w:iCs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"https://znanium.com/catalog/document?id=389466"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https://znanium.com/catalog/document?id=389466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Федеральный закон от 10.01.2002 N 7-ФЗ (ред. от 26.03.2022) "Об охране окружающей среды"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"https://docs.cntd.ru/document/901808297"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https://docs.cntd.ru/document/901808297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Водный кодекс РФ: Закон РФ от 3 июня 2006 № 74-ФЗ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"https://docs.cntd.ru/document/901982862"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https://docs.cntd.ru/document/901982862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Градостроительный кодекс РФ: Закон РФ от 29 декабря 2004 № 190-</w:t>
            </w:r>
          </w:p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ФЗ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"https://docs.cntd.ru/document/901919338"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https://docs.cntd.ru/document/901919338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Гражданский кодекс РФ: Федеральный закон от 30 ноября 1994 №</w:t>
            </w:r>
          </w:p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51-ФЗ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"https://docs.cntd.ru/document/9027690"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https://docs.cntd.ru/document/9027690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Земельный кодекс РФ: Закон РФ от 25 октября 2001 № 136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"https://docs.cntd.ru/document/744100004"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https://docs.cntd.ru/document/744100004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Лесной кодекс РФ: Закон РФ от 4 декабря 2006 № 201 ФЗ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"https://docs.cntd.ru/document/499021719"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https://docs.cntd.ru/document/499021719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 xml:space="preserve"> Уголовный кодекс РФ: Закон РФ от 13.06.1996 № 63 ФЗ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"https://docs.cntd.ru/document/9017477"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https://docs.cntd.ru/document/9017477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О. Л. Дубовик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Экологическая конфликтология (предупреждение и разрешение эколого-правовых конфликтов)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монография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Москва : Норма 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"https://znanium.com/catalog/document?id=377109"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https://znanium.com/catalog/document?id=377109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Анисимов, А. П.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Экологическое право России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"https://urait.ru/book/ekologicheskoe-pravo-rossii-507358"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https://urait.ru/book/ekologicheskoe-pravo-rossii-507358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Н. И. Хлуденева, М. В. Пономарев, Н. В. Кичигин.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Экологическое право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lang w:val="ru-RU" w:eastAsia="ar-SA"/>
              </w:rPr>
              <w:t>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color w:val="000000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 w:val="0"/>
                <w:iCs/>
                <w:color w:val="000000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"https://urait.ru/book/ekologicheskoe-pravo-488600"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https://urait.ru/book/ekologicheskoe-pravo-488600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 w:eastAsia="ar-SA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Боголюбов, С. 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Актуальные проблемы экологического права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монография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iCs/>
                <w:sz w:val="22"/>
                <w:szCs w:val="22"/>
                <w:lang w:val="ru-RU" w:eastAsia="ar-SA" w:bidi="ar-SA"/>
              </w:rPr>
            </w:pPr>
            <w:r>
              <w:rPr>
                <w:lang w:val="ru-RU" w:eastAsia="ar-SA"/>
              </w:rPr>
              <w:t>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"https://urait.ru/book/aktualnye-problemy-ekologicheskogo-prava-488599"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https://urait.ru/book/aktualnye-problemy-ekologicheskogo-prava-488599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ar-SA" w:bidi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left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color w:val="000000"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ar-SA" w:bidi="ar-SA"/>
              </w:rPr>
            </w:pPr>
          </w:p>
        </w:tc>
      </w:tr>
    </w:tbl>
    <w:p>
      <w:pPr>
        <w:pStyle w:val="62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9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DE687"/>
    <w:multiLevelType w:val="singleLevel"/>
    <w:tmpl w:val="97EDE68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9E07411"/>
    <w:multiLevelType w:val="singleLevel"/>
    <w:tmpl w:val="99E0741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9DF19447"/>
    <w:multiLevelType w:val="singleLevel"/>
    <w:tmpl w:val="9DF1944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5A63B50"/>
    <w:multiLevelType w:val="singleLevel"/>
    <w:tmpl w:val="B5A63B5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FEBB378"/>
    <w:multiLevelType w:val="singleLevel"/>
    <w:tmpl w:val="CFEBB37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1C7D756"/>
    <w:multiLevelType w:val="singleLevel"/>
    <w:tmpl w:val="D1C7D75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74725CE"/>
    <w:multiLevelType w:val="singleLevel"/>
    <w:tmpl w:val="D74725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D6732C"/>
    <w:multiLevelType w:val="singleLevel"/>
    <w:tmpl w:val="07D6732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>
    <w:nsid w:val="0D219973"/>
    <w:multiLevelType w:val="singleLevel"/>
    <w:tmpl w:val="0D219973"/>
    <w:lvl w:ilvl="0" w:tentative="0">
      <w:start w:val="1"/>
      <w:numFmt w:val="decimal"/>
      <w:suff w:val="space"/>
      <w:lvlText w:val="%1)"/>
      <w:lvlJc w:val="left"/>
    </w:lvl>
  </w:abstractNum>
  <w:abstractNum w:abstractNumId="16">
    <w:nsid w:val="10501001"/>
    <w:multiLevelType w:val="singleLevel"/>
    <w:tmpl w:val="10501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7">
    <w:nsid w:val="11A72DD0"/>
    <w:multiLevelType w:val="singleLevel"/>
    <w:tmpl w:val="11A72DD0"/>
    <w:lvl w:ilvl="0" w:tentative="0">
      <w:start w:val="1"/>
      <w:numFmt w:val="decimal"/>
      <w:suff w:val="space"/>
      <w:lvlText w:val="%1)"/>
      <w:lvlJc w:val="left"/>
    </w:lvl>
  </w:abstractNum>
  <w:abstractNum w:abstractNumId="18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47E4A"/>
    <w:multiLevelType w:val="singleLevel"/>
    <w:tmpl w:val="3A347E4A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48A9C62D"/>
    <w:multiLevelType w:val="singleLevel"/>
    <w:tmpl w:val="48A9C62D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6">
    <w:nsid w:val="53E5AF15"/>
    <w:multiLevelType w:val="singleLevel"/>
    <w:tmpl w:val="53E5AF15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6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69F0056"/>
    <w:multiLevelType w:val="singleLevel"/>
    <w:tmpl w:val="669F005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0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1"/>
    <w:lvlOverride w:ilvl="0">
      <w:startOverride w:val="1"/>
    </w:lvlOverride>
  </w:num>
  <w:num w:numId="4">
    <w:abstractNumId w:val="24"/>
  </w:num>
  <w:num w:numId="5">
    <w:abstractNumId w:val="14"/>
  </w:num>
  <w:num w:numId="6">
    <w:abstractNumId w:val="30"/>
  </w:num>
  <w:num w:numId="7">
    <w:abstractNumId w:val="28"/>
  </w:num>
  <w:num w:numId="8">
    <w:abstractNumId w:val="20"/>
  </w:num>
  <w:num w:numId="9">
    <w:abstractNumId w:val="4"/>
  </w:num>
  <w:num w:numId="10">
    <w:abstractNumId w:val="23"/>
  </w:num>
  <w:num w:numId="11">
    <w:abstractNumId w:val="11"/>
  </w:num>
  <w:num w:numId="12">
    <w:abstractNumId w:val="12"/>
  </w:num>
  <w:num w:numId="13">
    <w:abstractNumId w:val="21"/>
  </w:num>
  <w:num w:numId="14">
    <w:abstractNumId w:val="10"/>
  </w:num>
  <w:num w:numId="15">
    <w:abstractNumId w:val="15"/>
  </w:num>
  <w:num w:numId="16">
    <w:abstractNumId w:val="2"/>
  </w:num>
  <w:num w:numId="17">
    <w:abstractNumId w:val="29"/>
  </w:num>
  <w:num w:numId="18">
    <w:abstractNumId w:val="26"/>
  </w:num>
  <w:num w:numId="19">
    <w:abstractNumId w:val="5"/>
  </w:num>
  <w:num w:numId="20">
    <w:abstractNumId w:val="16"/>
  </w:num>
  <w:num w:numId="21">
    <w:abstractNumId w:val="17"/>
  </w:num>
  <w:num w:numId="22">
    <w:abstractNumId w:val="3"/>
  </w:num>
  <w:num w:numId="23">
    <w:abstractNumId w:val="1"/>
  </w:num>
  <w:num w:numId="24">
    <w:abstractNumId w:val="0"/>
  </w:num>
  <w:num w:numId="25">
    <w:abstractNumId w:val="9"/>
  </w:num>
  <w:num w:numId="26">
    <w:abstractNumId w:val="6"/>
  </w:num>
  <w:num w:numId="27">
    <w:abstractNumId w:val="27"/>
  </w:num>
  <w:num w:numId="28">
    <w:abstractNumId w:val="25"/>
  </w:num>
  <w:num w:numId="29">
    <w:abstractNumId w:val="32"/>
  </w:num>
  <w:num w:numId="30">
    <w:abstractNumId w:val="13"/>
  </w:num>
  <w:num w:numId="31">
    <w:abstractNumId w:val="19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1644A0D"/>
    <w:rsid w:val="03B65DFB"/>
    <w:rsid w:val="04963580"/>
    <w:rsid w:val="04E36B50"/>
    <w:rsid w:val="04E6391A"/>
    <w:rsid w:val="052D0C54"/>
    <w:rsid w:val="06142823"/>
    <w:rsid w:val="062F565F"/>
    <w:rsid w:val="075E75DE"/>
    <w:rsid w:val="0804563E"/>
    <w:rsid w:val="090A6497"/>
    <w:rsid w:val="093B3F6B"/>
    <w:rsid w:val="0A350B00"/>
    <w:rsid w:val="0A5A519C"/>
    <w:rsid w:val="0A65173A"/>
    <w:rsid w:val="0B6813FA"/>
    <w:rsid w:val="0BB31E2A"/>
    <w:rsid w:val="0C395107"/>
    <w:rsid w:val="0F6E73B9"/>
    <w:rsid w:val="10F72D1A"/>
    <w:rsid w:val="116D33F3"/>
    <w:rsid w:val="147E2367"/>
    <w:rsid w:val="15D427E0"/>
    <w:rsid w:val="168D7D37"/>
    <w:rsid w:val="16D82EB9"/>
    <w:rsid w:val="17F6206A"/>
    <w:rsid w:val="1AB46975"/>
    <w:rsid w:val="1B46060F"/>
    <w:rsid w:val="1B7F26ED"/>
    <w:rsid w:val="1DD071AA"/>
    <w:rsid w:val="204169BE"/>
    <w:rsid w:val="212652E0"/>
    <w:rsid w:val="213C4C73"/>
    <w:rsid w:val="22733B68"/>
    <w:rsid w:val="23967258"/>
    <w:rsid w:val="24A519CF"/>
    <w:rsid w:val="27724513"/>
    <w:rsid w:val="28184233"/>
    <w:rsid w:val="2B293797"/>
    <w:rsid w:val="2B97362E"/>
    <w:rsid w:val="2C072DA2"/>
    <w:rsid w:val="2D085718"/>
    <w:rsid w:val="2D4A3AA3"/>
    <w:rsid w:val="2E9B344E"/>
    <w:rsid w:val="2F1848D2"/>
    <w:rsid w:val="2F8A63AE"/>
    <w:rsid w:val="30EB3E9B"/>
    <w:rsid w:val="31A704FE"/>
    <w:rsid w:val="323E0815"/>
    <w:rsid w:val="32440E10"/>
    <w:rsid w:val="3250136C"/>
    <w:rsid w:val="328552EF"/>
    <w:rsid w:val="336B1603"/>
    <w:rsid w:val="33A0328B"/>
    <w:rsid w:val="353F092B"/>
    <w:rsid w:val="36344AB6"/>
    <w:rsid w:val="38116021"/>
    <w:rsid w:val="39381206"/>
    <w:rsid w:val="39683AA7"/>
    <w:rsid w:val="39A60EC2"/>
    <w:rsid w:val="39B64AAF"/>
    <w:rsid w:val="39C70C7D"/>
    <w:rsid w:val="3A4275C3"/>
    <w:rsid w:val="3A9912A3"/>
    <w:rsid w:val="3B893F22"/>
    <w:rsid w:val="3C324261"/>
    <w:rsid w:val="3D996504"/>
    <w:rsid w:val="3E2E579D"/>
    <w:rsid w:val="3F5D533E"/>
    <w:rsid w:val="4230630C"/>
    <w:rsid w:val="42CC39EE"/>
    <w:rsid w:val="46A65F8B"/>
    <w:rsid w:val="471333D1"/>
    <w:rsid w:val="4AB5387A"/>
    <w:rsid w:val="4B88579D"/>
    <w:rsid w:val="4B9A743C"/>
    <w:rsid w:val="4C1F6D78"/>
    <w:rsid w:val="4C2A7F9F"/>
    <w:rsid w:val="4CAA4173"/>
    <w:rsid w:val="4E1961C4"/>
    <w:rsid w:val="52595944"/>
    <w:rsid w:val="530A00E1"/>
    <w:rsid w:val="53944226"/>
    <w:rsid w:val="542433A0"/>
    <w:rsid w:val="56A728BE"/>
    <w:rsid w:val="57EF6167"/>
    <w:rsid w:val="58CE604B"/>
    <w:rsid w:val="59B03667"/>
    <w:rsid w:val="59D12569"/>
    <w:rsid w:val="5A5B7A78"/>
    <w:rsid w:val="5BEE6717"/>
    <w:rsid w:val="5C051CC1"/>
    <w:rsid w:val="5C9843B4"/>
    <w:rsid w:val="5D003489"/>
    <w:rsid w:val="5D475D8D"/>
    <w:rsid w:val="5E1F3B3B"/>
    <w:rsid w:val="5EB65BCB"/>
    <w:rsid w:val="5EE679B2"/>
    <w:rsid w:val="6072657E"/>
    <w:rsid w:val="622264DC"/>
    <w:rsid w:val="63270101"/>
    <w:rsid w:val="65B945FC"/>
    <w:rsid w:val="664550D5"/>
    <w:rsid w:val="67D36721"/>
    <w:rsid w:val="67FB6C8E"/>
    <w:rsid w:val="69354143"/>
    <w:rsid w:val="6B531127"/>
    <w:rsid w:val="6CCE7B34"/>
    <w:rsid w:val="6DBD3C93"/>
    <w:rsid w:val="6DD411F8"/>
    <w:rsid w:val="6E494402"/>
    <w:rsid w:val="6EBF4D37"/>
    <w:rsid w:val="739B456E"/>
    <w:rsid w:val="73A57F46"/>
    <w:rsid w:val="73B8764D"/>
    <w:rsid w:val="75526D97"/>
    <w:rsid w:val="76227A8F"/>
    <w:rsid w:val="76E33D6C"/>
    <w:rsid w:val="77354635"/>
    <w:rsid w:val="783E6DE0"/>
    <w:rsid w:val="79A17CB0"/>
    <w:rsid w:val="7AA20B4C"/>
    <w:rsid w:val="7BB94CF1"/>
    <w:rsid w:val="7C3A16B0"/>
    <w:rsid w:val="7C494F91"/>
    <w:rsid w:val="7CAE7BC7"/>
    <w:rsid w:val="7E7C2B29"/>
    <w:rsid w:val="7F0308E3"/>
    <w:rsid w:val="7F3977DC"/>
    <w:rsid w:val="7FC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1</TotalTime>
  <ScaleCrop>false</ScaleCrop>
  <LinksUpToDate>false</LinksUpToDate>
  <CharactersWithSpaces>63478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2022-05-09T13:39:10Z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21827D1521B548F78D73DB62235EFFCD</vt:lpwstr>
  </property>
</Properties>
</file>