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Текстильный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институт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hint="default" w:eastAsia="Times New Roman"/>
                <w:sz w:val="26"/>
                <w:szCs w:val="26"/>
                <w:lang w:val="ru-RU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7025163"/>
            <w:bookmarkStart w:id="1" w:name="_Toc57024930"/>
            <w:bookmarkStart w:id="2" w:name="_Toc56765514"/>
            <w:bookmarkStart w:id="3" w:name="_Toc62039378"/>
            <w:bookmarkStart w:id="4" w:name="_Toc57022812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62039379"/>
            <w:bookmarkStart w:id="6" w:name="_Toc56765515"/>
            <w:bookmarkStart w:id="7" w:name="_Toc57022813"/>
            <w:bookmarkStart w:id="8" w:name="_Toc57024931"/>
            <w:bookmarkStart w:id="9" w:name="_Toc57025164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Технологии и проектирование текстильных изделий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Экспертиза и товароведение изделий текстильной и легкой 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«Экология»</w:t>
            </w:r>
            <w:r>
              <w:rPr>
                <w:rFonts w:hint="default" w:eastAsia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.З. Цинцадзе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i w:val="0"/>
          <w:iCs w:val="0"/>
          <w:sz w:val="24"/>
          <w:szCs w:val="24"/>
        </w:rPr>
        <w:t xml:space="preserve"> «</w:t>
      </w:r>
      <w:r>
        <w:rPr>
          <w:i w:val="0"/>
          <w:iCs w:val="0"/>
          <w:sz w:val="24"/>
          <w:szCs w:val="24"/>
          <w:lang w:val="ru-RU"/>
        </w:rPr>
        <w:t>Экология</w:t>
      </w:r>
      <w:r>
        <w:rPr>
          <w:i w:val="0"/>
          <w:iCs w:val="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 w:val="0"/>
          <w:iCs/>
          <w:sz w:val="24"/>
          <w:szCs w:val="24"/>
          <w:lang w:val="ru-RU"/>
        </w:rPr>
        <w:t>четвертом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pStyle w:val="62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ачет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t xml:space="preserve"> в структуре ОПОП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Учебная дисциплина </w:t>
      </w:r>
      <w:r>
        <w:rPr>
          <w:rFonts w:hint="default"/>
          <w:i w:val="0"/>
          <w:iCs/>
          <w:sz w:val="24"/>
          <w:szCs w:val="24"/>
          <w:lang w:val="ru-RU"/>
        </w:rPr>
        <w:t xml:space="preserve">«Экология»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Безопасность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жизнедеятельности.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>
        <w:rPr>
          <w:i w:val="0"/>
          <w:iCs w:val="0"/>
          <w:sz w:val="24"/>
          <w:szCs w:val="24"/>
        </w:rPr>
        <w:t xml:space="preserve"> учебной дисциплине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Экологическая стандартизация изделий текстильной и легкой промышленности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color w:val="auto"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color w:val="auto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tbl>
      <w:tblPr>
        <w:tblStyle w:val="12"/>
        <w:tblpPr w:leftFromText="180" w:rightFromText="180" w:vertAnchor="text" w:horzAnchor="page" w:tblpX="1683" w:tblpY="717"/>
        <w:tblOverlap w:val="never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Анализирует</w:t>
            </w:r>
            <w:r>
              <w:rPr>
                <w:rFonts w:hint="default"/>
                <w:lang w:val="ru-RU"/>
              </w:rPr>
              <w:t xml:space="preserve"> и к</w:t>
            </w:r>
            <w:r>
              <w:rPr>
                <w:lang w:val="ru-RU"/>
              </w:rPr>
              <w:t>ритически</w:t>
            </w:r>
            <w:r>
              <w:rPr>
                <w:rFonts w:hint="default"/>
                <w:lang w:val="ru-RU"/>
              </w:rPr>
              <w:t xml:space="preserve"> оценивает </w:t>
            </w:r>
            <w:r>
              <w:t xml:space="preserve">возможные угрозы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природной среды, а также </w:t>
            </w:r>
            <w:r>
              <w:t>здоровья человека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</w:t>
            </w:r>
            <w:r>
              <w:t>нализир</w:t>
            </w:r>
            <w:r>
              <w:rPr>
                <w:lang w:val="ru-RU"/>
              </w:rPr>
              <w:t>ует</w:t>
            </w:r>
            <w:r>
              <w:t xml:space="preserve"> и оценива</w:t>
            </w:r>
            <w:r>
              <w:rPr>
                <w:lang w:val="ru-RU"/>
              </w:rPr>
              <w:t>ет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экологические последствия деятельности человека в </w:t>
            </w:r>
            <w:r>
              <w:rPr>
                <w:lang w:val="ru-RU"/>
              </w:rPr>
              <w:t>различных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сферах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Знает и анализирует последствия загрязнений различного характера на окружающую природную среду и здоровье человека.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Способен сформировать собственную позицию в отношении вопросов экологического характера.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ОПК-5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/>
              </w:rPr>
              <w:t>Оценка характера воздействия вредных и опасных факторов на человека и природную среду в сфере своей профессиональной деятельности.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>Способен</w:t>
            </w:r>
            <w:r>
              <w:rPr>
                <w:rFonts w:hint="default"/>
                <w:highlight w:val="none"/>
                <w:lang w:val="ru-RU"/>
              </w:rPr>
              <w:t xml:space="preserve"> оценить экологический риск в профессиональной деятельности.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/>
                <w:highlight w:val="none"/>
                <w:lang w:val="ru-RU" w:eastAsia="en-US"/>
              </w:rPr>
              <w:t xml:space="preserve"> </w:t>
            </w:r>
            <w:r>
              <w:rPr>
                <w:highlight w:val="none"/>
                <w:lang w:val="ru-RU"/>
              </w:rPr>
              <w:t>Знает</w:t>
            </w:r>
            <w:r>
              <w:rPr>
                <w:rFonts w:hint="default"/>
                <w:highlight w:val="none"/>
                <w:lang w:val="ru-RU"/>
              </w:rPr>
              <w:t xml:space="preserve">  методы и способы сохранения благоприятной природной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/>
                <w:highlight w:val="none"/>
                <w:lang w:val="ru-RU" w:eastAsia="en-US"/>
              </w:rPr>
              <w:t xml:space="preserve"> Знает</w:t>
            </w:r>
            <w:r>
              <w:rPr>
                <w:rFonts w:hint="default" w:cs="Times New Roman" w:eastAsiaTheme="minorHAnsi"/>
                <w:color w:val="000000"/>
                <w:sz w:val="22"/>
                <w:szCs w:val="22"/>
                <w:highlight w:val="none"/>
                <w:lang w:val="ru-RU" w:eastAsia="en-US" w:bidi="ar-SA"/>
              </w:rPr>
              <w:t xml:space="preserve"> основные методы анализа загрязнения окружающей среды.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/>
                <w:highlight w:val="none"/>
                <w:lang w:val="ru-RU" w:eastAsia="en-US"/>
              </w:rPr>
              <w:t xml:space="preserve"> Анализирует отрицательное влияние технологических процессов отрасли на окружающую природную среду.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/>
                <w:highlight w:val="none"/>
                <w:lang w:val="ru-RU" w:eastAsia="en-US"/>
              </w:rPr>
              <w:t>Осуществляет выбор оптимальных технологий для производства меховых изделий с учетом воздействия на окружающую среду.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 xml:space="preserve">Применение методов и средств защиты производственного персонала; 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проведение контроля параметров и уровня негативных воздействий в технологических процессах;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разработка мероприятий по повышению безопасности и экологичности производственной деятельности.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Расчет параметров безопасности жизнедеятельности, оценка уровня эффективности и безопасности применяемых технических средств и технологий.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rPr>
                <w:i w:val="0"/>
                <w:iCs w:val="0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4</w:t>
            </w:r>
            <w:r>
              <w:rPr>
                <w:i w:val="0"/>
                <w:iCs w:val="0"/>
              </w:rP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i w:val="0"/>
                <w:iCs w:val="0"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Четвертый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УК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ИД-УК-1.2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yellow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ru-RU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1</w:t>
            </w:r>
          </w:p>
          <w:p>
            <w:r>
              <w:rPr>
                <w:rFonts w:hint="default"/>
              </w:rPr>
              <w:t>Колебания численности популяции и их причины.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>Пищевые цепи и трофические уровни.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r>
              <w:rPr>
                <w:rFonts w:hint="default"/>
                <w:i w:val="0"/>
                <w:iCs/>
              </w:rPr>
              <w:t>Взаимодействия живых организмов.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УК-1: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ИД-УК-1.2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ОПК-5: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30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Контрольная работа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Реферат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Доклад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Тема 2.2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Основы экологического нормирования.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Тема 2.4</w:t>
            </w:r>
          </w:p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текстильной промышленности.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5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Тема 2.6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2.1 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Основы охраны окружающей среды.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Современные методы уменьшения экологической нагрузки на окружающую среду в текстильной промышленности.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2.3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Основы охраны окружающей среды в текстильной промышленности.  Защита рефератов.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Экологическое нормирование и контроль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Зачет в виде устного собеседования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четвертый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 w:val="0"/>
                <w:iCs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ind w:left="709"/>
        <w:jc w:val="both"/>
        <w:rPr>
          <w:i/>
        </w:rPr>
      </w:pPr>
    </w:p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</w:t>
      </w:r>
      <w:r>
        <w:rPr>
          <w:i/>
          <w:iCs w:val="0"/>
        </w:rPr>
        <w:t xml:space="preserve"> </w:t>
      </w:r>
      <w:r>
        <w:rPr>
          <w:i w:val="0"/>
          <w:iCs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Краткая история становления экологии как самостоятельной науки. Этапы развития экологии. Место и роль экологии в современном научном мире. Уровни организации жизни. Основные методы исследования, применяемые в экологии. Основные понятия и определения.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Экосистема как один из основных объектов исследования экологии. Биомы, экотопы и биоценозы. Виды экосистем. Биологическая продуктивность экосистем. Классификация экосистем. Природные и антропогенные экосистемы. Взаимодействия между живыми компонентами экосистемы и их классификация. 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Причины возникновения сукцессии. Первичная и вторичная сукцессия. Понятие динамического равновесия.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Структура и границы биосферы. Геосферы Земли. Факторы, ограничивающие распространение жизни в геосферах Земли. Свойства и функции живого вещества. Свойства биосферы.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Понятие и классификация загрязнений окружающей среды. Загрязнение атмосферы, гидросферы и литосферы. Загрязнение отходами производства и потребления. Физическое, механическое, химическое и биологическое загрязнение окружающей среды. Основы защиты окружающей среды от различных загрязнений. Малоотходные технологии.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Основы экологического нормирования.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Нормирование качества окружающей среды. Понятия ПДК, ПДУ, ПДВ. Расчет концентрации загрязняющих веществ. Расчет предельно допустимых уровней.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Вредные выбросы в атмосферу, сбросы в гидросферу и твердые отходы предприятий текстильной промышленности.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текстильной промышленности.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Очистка сточных вод и газовых выбросов предприятий легкой промышленности. Отходы предприятий легкой промышленности. Современные методы защиты окружающей среды, используемые в легкой промышленности.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Экологическое законодательство РФ. Государственные органы РФ в сфере природопользования и охраны окружающей среды. Надзор и контроль в сфере охраны окружающей среды. Экологический риск. Юридическая ответственность за экологические правонарушения.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Отбор проб. Контроль загрязнений почв, воды и воздуха. Дистанционные методы контроля. Контактные методы контроля. Биологические методы контроля. 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 </w:t>
      </w:r>
      <w:r>
        <w:rPr>
          <w:i w:val="0"/>
          <w:iCs/>
          <w:sz w:val="24"/>
          <w:szCs w:val="24"/>
        </w:rPr>
        <w:t>рефератов на проблемные темы;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создание презентаций по изучаемым темам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консультаций перед экзаменом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  <w:p>
            <w:pPr>
              <w:rPr>
                <w:rFonts w:hint="default"/>
                <w:bCs/>
                <w:i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контрольной работе и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Основы экологического нормирования.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контрольной работе и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Подготовка реферата.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Защита реферата.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Основы охраны окружающей среды в текстильной промышленности.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Методы и приборы контроля качества окружающей среды. Экологический мониторинг.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Подготовка доклада.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lang w:val="ru-RU"/>
              </w:rPr>
              <w:t>У</w:t>
            </w:r>
            <w:r>
              <w:rPr>
                <w:i w:val="0"/>
                <w:iCs/>
              </w:rPr>
              <w:t>стное собеседование по результатам выполненной работы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</w:tbl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УК-1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i w:val="0"/>
                <w:iCs/>
                <w:sz w:val="22"/>
                <w:szCs w:val="22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ОПК-5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5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ИД-ОПК-5.3</w:t>
            </w:r>
            <w:bookmarkStart w:id="11" w:name="_GoBack"/>
            <w:bookmarkEnd w:id="11"/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2"/>
                <w:szCs w:val="22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умеет </w:t>
            </w:r>
            <w:r>
              <w:rPr>
                <w:rStyle w:val="15"/>
                <w:rFonts w:ascii="Times" w:hAnsi="Times"/>
                <w:i w:val="0"/>
                <w:sz w:val="22"/>
                <w:szCs w:val="22"/>
              </w:rPr>
              <w:t xml:space="preserve">полноценно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оценить 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применяет методы анализа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демонстрирует системный подход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выявлении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признаков, причин и условий возникновения экологических проблем;</w:t>
            </w:r>
          </w:p>
          <w:p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п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оказывает четкие системн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>ые знания и представления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функционирования 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 правильно обосновывает принятые решения;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и верно оценивает негативное воздействие предприятий текстильной промышленности на окружающую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верно анализировать обоснованность экозащитных мероприятий на предприятиях текстильной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отлично знает методы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уверенно и правильно отвечает на вопросы, в том числе дополнительные.</w:t>
            </w:r>
          </w:p>
        </w:tc>
        <w:tc>
          <w:tcPr>
            <w:tcW w:w="32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при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решении задач экологического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правильно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применяет теоретические положения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негативное воздействие предприятий текстильной промышленности на окружающую среду, допуская негрубые ошибки;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допускает единичные негрубые ошибки при анализе обоснованности экозащитных мероприятий на предприятиях текстильной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знает методы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дает в целом верные, но недостаточно полные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и </w:t>
            </w:r>
            <w:r>
              <w:rPr>
                <w:i w:val="0"/>
                <w:iCs w:val="0"/>
                <w:sz w:val="22"/>
                <w:szCs w:val="22"/>
              </w:rPr>
              <w:t>систематизирует изученный материал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но не способен выработать стратегию действий для решения проблемных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с трудом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</w:rPr>
              <w:t xml:space="preserve">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испытывает серьёзные затруднения в применении теоретических положений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трудом 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слабые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Style w:val="15"/>
                <w:rFonts w:hint="default" w:ascii="Times" w:hAnsi="Times" w:eastAsia="SimSun"/>
                <w:i w:val="0"/>
                <w:lang w:val="ru-RU"/>
              </w:rPr>
            </w:pPr>
            <w:r>
              <w:rPr>
                <w:rStyle w:val="15"/>
                <w:rFonts w:ascii="Times" w:hAnsi="Times" w:eastAsia="SimSun"/>
                <w:i w:val="0"/>
                <w:lang w:val="ru-RU"/>
              </w:rPr>
              <w:t>Обучающийся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rStyle w:val="15"/>
                <w:rFonts w:ascii="Times" w:hAnsi="Times" w:eastAsia="SimSun"/>
                <w:i w:val="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трудности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анализе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негативного воздействия предприятий текстильной промышленности на окружающую среду;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демонстрирует слабое знание экозащитных мероприятий на предприятиях текстильной промышленности;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показывает слабое знание методов анализа состояния окружающей среды;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дает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неполные ответы на вопросы, допускает ошибки   при ответах на вопросы, в том числе дополнительные.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по экологии</w:t>
            </w:r>
            <w:r>
              <w:rPr>
                <w:i w:val="0"/>
                <w:iCs w:val="0"/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по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обеспечению экологической безопасности и охраны окружающей среды</w:t>
            </w:r>
            <w:r>
              <w:rPr>
                <w:i w:val="0"/>
                <w:iCs w:val="0"/>
                <w:sz w:val="22"/>
                <w:szCs w:val="22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экологический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риск и последствия антропогенного влияния на окружающую среду;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не владеет принципами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ресурсо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- и энергосбережения, не знает </w:t>
            </w: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>основ разработки малоотходных, энергетических и экологически чистых технологий;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/>
                <w:i w:val="0"/>
                <w:sz w:val="22"/>
                <w:szCs w:val="22"/>
                <w:lang w:val="ru-RU"/>
              </w:rPr>
              <w:t>не ориентируется в основных методах и приборах контроля качества окружающей среды;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не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знает основных принципов и методов экологического мониторинга;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</w:rPr>
              <w:t xml:space="preserve">Тест №1, </w:t>
            </w:r>
          </w:p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</w:rPr>
              <w:t>по разделу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Введение в предмет экологии. Общая экология</w:t>
            </w:r>
            <w:r>
              <w:rPr>
                <w:b w:val="0"/>
                <w:bCs w:val="0"/>
                <w:i w:val="0"/>
                <w:iCs/>
              </w:rPr>
              <w:t>»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Растительное сообщество, существующее в пределах одного биотопа - это 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1.Фитоценоз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2.Биоценоз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3.Фитозооценоз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4.Биотоп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2) Взаимоотношения, которые положительны для одного вида и отрицательны для другого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1.Комменсализм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2.Хищничество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3.Протокооперация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4.Мутуализм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3) Емкость среды - это минимальный размер популяции вида, который среда может стабильно поддерживать, обеспечивать пищей, укрытием, водой и другими необходимыми благами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2.Неверно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4) В каком году впервые был предложен термин "экологическая система"?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A) 1935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B) 1930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C) 1925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D) 1835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Установите соответствия между компонентами биосфер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ы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1"/>
              <w:gridCol w:w="4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Живое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А. почва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Б. песок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Биогенное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В. бактерии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Г. Опавшая листва</w:t>
                  </w:r>
                </w:p>
              </w:tc>
            </w:tr>
          </w:tbl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spacing w:line="240" w:lineRule="auto"/>
              <w:ind w:left="42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Контрольная работа по темам: «</w:t>
            </w: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» и «Основы экологического нормирования».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0"/>
              </w:numP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№1</w:t>
            </w:r>
          </w:p>
          <w:p>
            <w:pPr>
              <w:numPr>
                <w:ilvl w:val="0"/>
                <w:numId w:val="17"/>
              </w:numPr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Раскрыть п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онятие «загрязнение природной среды» и основные ее типы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.</w:t>
            </w:r>
          </w:p>
          <w:p>
            <w:pPr>
              <w:numPr>
                <w:ilvl w:val="0"/>
                <w:numId w:val="17"/>
              </w:numPr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Оцените качество воздуха, если известно, что в воздухе одновременно присутствуют диоксид серы концентрацией 0,022 мг/м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 и диоксид азота концентрацией 0,028 мг/м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</w:rPr>
              <w:t>3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№2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Основные источники загрязнения атмосферы. Основные источники загрязнения атмосферы в текстильной промышленности.</w:t>
            </w:r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 w:eastAsia="ru-RU"/>
              </w:rPr>
              <w:t>Оцените качество воздуха, если известно, что в воздухе одновременно прис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утствуют диоксид серы концентрацией 0,021 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 и керосин 0,6 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№3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Основные сбросы предприятий текстильной промышленности.</w:t>
            </w:r>
          </w:p>
          <w:p>
            <w:pPr>
              <w:numPr>
                <w:ilvl w:val="0"/>
                <w:numId w:val="19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Оцените качество воздуха, если известно, что в воздухе одновременно присутствуют диоксид серы концентрацией 0,032 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 и ксилол 0,18 мг/м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vertAlign w:val="superscript"/>
                <w:lang w:val="ru-RU"/>
              </w:rPr>
              <w:t>3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№4</w:t>
            </w:r>
          </w:p>
          <w:p>
            <w:pPr>
              <w:numPr>
                <w:ilvl w:val="0"/>
                <w:numId w:val="2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Морфологический состав отходов производств текстильной промышленности.</w:t>
            </w:r>
          </w:p>
          <w:p>
            <w:pPr>
              <w:numPr>
                <w:ilvl w:val="0"/>
                <w:numId w:val="20"/>
              </w:numPr>
              <w:spacing w:after="0" w:line="240" w:lineRule="auto"/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Оцените качество воздуха, если известно, что в воздухе одновременно присутствуют диоксид серы концентрацией 0,011 мг/м3, оксид углерода концентрацией 0,92 мг/м3, диоксид азота концентрацией 0,022 мг/м3.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Вариант №5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Газовые выбросы и основные методы их очистки.</w:t>
            </w:r>
          </w:p>
          <w:p>
            <w:pPr>
              <w:numPr>
                <w:ilvl w:val="0"/>
                <w:numId w:val="21"/>
              </w:numPr>
              <w:spacing w:after="0" w:line="240" w:lineRule="auto"/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eastAsia="Georg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 xml:space="preserve">Оцените качество воды на водоеме хозяйственно-бытового назначения, если известно, что проба воды содержит аммиак концентрацией 0,9 мг/л, ртуть концентрацией 0,042 мг/л.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  <w:r>
              <w:rPr>
                <w:rFonts w:hint="default"/>
                <w:i w:val="0"/>
                <w:iCs/>
                <w:lang w:val="ru-RU"/>
              </w:rPr>
              <w:t xml:space="preserve"> по теме:</w:t>
            </w:r>
            <w:r>
              <w:rPr>
                <w:rFonts w:hint="default"/>
                <w:i/>
                <w:lang w:val="ru-RU"/>
              </w:rPr>
              <w:t xml:space="preserve"> «</w:t>
            </w:r>
            <w:r>
              <w:rPr>
                <w:rFonts w:hint="default"/>
                <w:highlight w:val="none"/>
                <w:lang w:val="ru-RU"/>
              </w:rPr>
              <w:t xml:space="preserve">Экологические проблемы текстильной промышленности». </w:t>
            </w:r>
          </w:p>
        </w:tc>
        <w:tc>
          <w:tcPr>
            <w:tcW w:w="972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Темы рефератов: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методы очистки сточных вод предприятий текстильной промышленности.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методы очистки газовых выбросов предприятий текстильной промышленности.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Морфологический состав отходов различных предприятий текстильной промышленности. 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направления экозащитных мероприятий в текстильной промышленности.</w:t>
            </w:r>
          </w:p>
          <w:p>
            <w:pPr>
              <w:numPr>
                <w:ilvl w:val="0"/>
                <w:numId w:val="22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Способы переработки твердых отходов текстильной промышленности.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4</w:t>
            </w:r>
          </w:p>
        </w:tc>
        <w:tc>
          <w:tcPr>
            <w:tcW w:w="3827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Доклад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по теме: «</w:t>
            </w:r>
            <w:r>
              <w:rPr>
                <w:rFonts w:hint="default"/>
                <w:b w:val="0"/>
                <w:bCs/>
                <w:lang w:val="ru-RU"/>
              </w:rPr>
              <w:t>Методы и приборы контроля качества окружающей среды. Экологический мониторинг».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Темы</w:t>
            </w:r>
            <w:r>
              <w:rPr>
                <w:rFonts w:hint="default"/>
                <w:i w:val="0"/>
                <w:iCs/>
                <w:lang w:val="ru-RU"/>
              </w:rPr>
              <w:t xml:space="preserve"> докладов: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Общие представления о мониторинге окружающей среды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Автоматизированная информационная система мониторинга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Методы и средства наблюдения и контроля за состоянием окружающей среды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Контактные методы контроля окружающей среды</w:t>
            </w:r>
          </w:p>
          <w:p>
            <w:pPr>
              <w:pStyle w:val="62"/>
              <w:numPr>
                <w:ilvl w:val="0"/>
                <w:numId w:val="23"/>
              </w:numPr>
              <w:tabs>
                <w:tab w:val="left" w:pos="301"/>
              </w:tabs>
              <w:ind w:left="719" w:leftChars="0" w:hanging="719" w:hangingChars="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Дистанционные методы контроля окружающей среды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ind w:leftChars="-327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сре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jc w:val="both"/>
              <w:rPr>
                <w:rFonts w:hint="default"/>
                <w:i/>
                <w:lang w:val="ru-RU"/>
              </w:rPr>
            </w:pPr>
          </w:p>
        </w:tc>
      </w:tr>
    </w:tbl>
    <w:p/>
    <w:p>
      <w:pPr>
        <w:pStyle w:val="62"/>
        <w:numPr>
          <w:ilvl w:val="1"/>
          <w:numId w:val="24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4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свободно владеет содержанием, ясно и грамотно излагает материал</w:t>
            </w:r>
            <w:r>
              <w:rPr>
                <w:rFonts w:hint="default"/>
                <w:i w:val="0"/>
                <w:iCs/>
                <w:lang w:val="ru-RU"/>
              </w:rPr>
              <w:t>,</w:t>
            </w:r>
            <w:r>
              <w:rPr>
                <w:i w:val="0"/>
                <w:iCs/>
                <w:lang w:val="ru-RU"/>
              </w:rPr>
              <w:t xml:space="preserve"> свободно и корректно отвечает на вопросы и замечания аудитории</w:t>
            </w:r>
            <w:r>
              <w:rPr>
                <w:rFonts w:hint="default"/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точно укладывается в рамки регламента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владеет содержанием доклада, грамотно его излагает, допуская незначительные неточности. Отвечает на большую часть вопросов аудитории.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слабо владеет материалов, допускает фактические ошибки и ошибки в логических рассуждениях. Испытывает затруднения во время ответа на дополнительные вопросы.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Работа выполнена со значительными,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FFFFFF" w:fill="D9D9D9"/>
                <w:lang w:val="en-US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/>
                <w:shd w:val="clear" w:color="FFFFFF" w:fill="D9D9D9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410" w:type="dxa"/>
            <w:vMerge w:val="continue"/>
          </w:tcPr>
          <w:p>
            <w:pPr>
              <w:jc w:val="center"/>
            </w:pPr>
          </w:p>
        </w:tc>
        <w:tc>
          <w:tcPr>
            <w:tcW w:w="8080" w:type="dxa"/>
          </w:tcPr>
          <w:p>
            <w:pPr>
              <w:jc w:val="both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Работа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выполнена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lang w:val="en-US"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25-30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19-24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12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18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 xml:space="preserve">Тема реферата не раскрыта.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11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i/>
              </w:rPr>
            </w:pPr>
            <w:r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i w:val="0"/>
                <w:iCs/>
                <w:lang w:val="ru-RU"/>
              </w:rPr>
              <w:t xml:space="preserve"> работа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</w:t>
            </w:r>
            <w:r>
              <w:rPr>
                <w:rFonts w:hint="default"/>
                <w:lang w:val="ru-RU"/>
              </w:rPr>
              <w:t xml:space="preserve"> верный, полностью и логически стройный ответ на теоретический вопрос. Задача решена верна. Ошибки и отсутствуют. Возможны 1-2 недочета, не влияющих на правильность ответа.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9-10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вопрос,</w:t>
            </w:r>
            <w:r>
              <w:rPr>
                <w:rFonts w:hint="default"/>
                <w:lang w:val="ru-RU"/>
              </w:rPr>
              <w:t xml:space="preserve"> с единичными, незначительными ошибками. Задача решена верно.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7-8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не полный, с ошибками в деталях, обучающийся не способен самостоятельно выделить существенные и несущественные признаки и причинно-следственные связи. Задача решена с грубыми ошибками.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3-6</w:t>
            </w: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Ответ представляет собой разрозненные знания с существенными ошибками по вопросу, присутствуют фрагментарность, нелогичность изложения. Задача не решена.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en-US"/>
              </w:rPr>
              <w:t>1-2</w:t>
            </w: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</w:t>
            </w:r>
            <w:r>
              <w:rPr>
                <w:rFonts w:hint="default"/>
                <w:i w:val="0"/>
                <w:iCs/>
                <w:lang w:val="ru-RU"/>
              </w:rPr>
              <w:t xml:space="preserve"> не выполнил задание.</w:t>
            </w:r>
          </w:p>
        </w:tc>
        <w:tc>
          <w:tcPr>
            <w:tcW w:w="2055" w:type="dxa"/>
          </w:tcPr>
          <w:p>
            <w:pPr>
              <w:jc w:val="center"/>
              <w:rPr>
                <w:i/>
              </w:rPr>
            </w:pPr>
            <w:r>
              <w:rPr>
                <w:rFonts w:hint="default"/>
                <w:i w:val="0"/>
                <w:iCs/>
                <w:lang w:val="en-US"/>
              </w:rPr>
              <w:t>0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i/>
              </w:rPr>
            </w:pPr>
            <w:r>
              <w:rPr>
                <w:i w:val="0"/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16 – 20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13 – 15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/>
              </w:rPr>
            </w:pPr>
            <w:r>
              <w:rPr>
                <w:i w:val="0"/>
                <w:iCs/>
              </w:rPr>
              <w:t>Зачет</w:t>
            </w:r>
          </w:p>
        </w:tc>
        <w:tc>
          <w:tcPr>
            <w:tcW w:w="11340" w:type="dxa"/>
          </w:tcPr>
          <w:p>
            <w:p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Вопросы</w:t>
            </w:r>
            <w:r>
              <w:rPr>
                <w:rFonts w:hint="default"/>
                <w:i w:val="0"/>
                <w:iCs/>
                <w:lang w:val="ru-RU"/>
              </w:rPr>
              <w:t xml:space="preserve"> для устного собеседования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Какие существуют методы дистанционного контроля качества окружающей среды?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такое экосистема? Какие бывают экосистемы?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атмосферные выбросы предприятий текстильной промышленности.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Какие существуют методы контроля качества окружающей среды?</w:t>
            </w:r>
          </w:p>
          <w:p>
            <w:pPr>
              <w:numPr>
                <w:ilvl w:val="0"/>
                <w:numId w:val="25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Какой закон регулирует экологический мониторинг?</w:t>
            </w:r>
          </w:p>
          <w:p>
            <w:pPr>
              <w:jc w:val="both"/>
              <w:rPr>
                <w:rFonts w:hint="default"/>
                <w:i/>
                <w:lang w:val="ru-RU"/>
              </w:rPr>
            </w:pPr>
          </w:p>
        </w:tc>
      </w:tr>
    </w:tbl>
    <w:p>
      <w:pPr>
        <w:pStyle w:val="3"/>
      </w:pPr>
      <w:r>
        <w:t>Критерии, шкалы оценивания промежуточной аттестации учебной дисциплины</w:t>
      </w:r>
      <w:r>
        <w:rPr>
          <w:rFonts w:hint="default"/>
          <w:lang w:val="ru-RU"/>
        </w:rPr>
        <w:t>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Зачет: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Устн</w:t>
            </w:r>
            <w:r>
              <w:rPr>
                <w:i w:val="0"/>
                <w:iCs/>
                <w:lang w:val="ru-RU"/>
              </w:rPr>
              <w:t>ое</w:t>
            </w:r>
            <w:r>
              <w:rPr>
                <w:rFonts w:hint="default"/>
                <w:i w:val="0"/>
                <w:iCs/>
                <w:lang w:val="ru-RU"/>
              </w:rPr>
              <w:t xml:space="preserve"> собеседование</w:t>
            </w: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дает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развернутые ответы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 – 30 </w:t>
            </w:r>
            <w:r>
              <w:t>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затруднения при ответах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 – 11</w:t>
            </w:r>
            <w: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не зачтено</w:t>
            </w:r>
          </w:p>
        </w:tc>
      </w:tr>
    </w:tbl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10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30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</w:t>
            </w:r>
          </w:p>
          <w:p>
            <w:pPr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(дисциплину)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 w:val="0"/>
                <w:iCs/>
              </w:rPr>
              <w:t>зачёт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>
      <w:pPr>
        <w:pStyle w:val="62"/>
        <w:numPr>
          <w:ilvl w:val="3"/>
          <w:numId w:val="24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5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9" w:type="pc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4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4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4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4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>дисциплины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27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6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Н.И. Николайкин, Н.Е.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Николайкина, О.П.Мелехова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М. : Дрофа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2004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2009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 w:ascii="Times" w:hAnsi="Times"/>
                <w:lang w:val="ru-RU"/>
              </w:rPr>
              <w:t>2021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 w:ascii="Times" w:hAnsi="Times"/>
              </w:rPr>
              <w:fldChar w:fldCharType="begin"/>
            </w:r>
            <w:r>
              <w:rPr>
                <w:rFonts w:hint="default" w:ascii="Times" w:hAnsi="Times"/>
              </w:rPr>
              <w:instrText xml:space="preserve"> HYPERLINK "https://znanium.com/catalog/document?id=364714" </w:instrText>
            </w:r>
            <w:r>
              <w:rPr>
                <w:rFonts w:hint="default" w:ascii="Times" w:hAnsi="Times"/>
              </w:rPr>
              <w:fldChar w:fldCharType="separate"/>
            </w:r>
            <w:r>
              <w:rPr>
                <w:rStyle w:val="16"/>
                <w:rFonts w:hint="default" w:ascii="Times" w:hAnsi="Times"/>
              </w:rPr>
              <w:t>https://znanium.com/catalog/document?id=364714</w:t>
            </w:r>
            <w:r>
              <w:rPr>
                <w:rFonts w:hint="default" w:ascii="Times" w:hAnsi="Times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lang w:val="ru-RU"/>
              </w:rPr>
              <w:t>У</w:t>
            </w:r>
            <w:r>
              <w:rPr>
                <w:rFonts w:ascii="Times" w:hAnsi="Times"/>
              </w:rPr>
              <w:t>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Ростов-на-Дону : Феникс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2000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Третьякова Н.А.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  <w:lang w:val="ru-RU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hint="default" w:ascii="Times" w:hAnsi="Times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"https://urait.ru/book/osnovy-ekologii-493649"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https://urait.ru/book/osnovy-ekologii-493649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Общая экология 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"https://urait.ru/book/obschaya-ekologiya-491484"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https://urait.ru/book/obschaya-ekologiya-491484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"https://urait.ru/book/ekologiya-i-racionalnoe-prirodopolzovanie-491540"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https://urait.ru/book/ekologiya-i-racionalnoe-prirodopolzovanie-491540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"https://urait.ru/book/osnovy-prirodopolzovaniya-i-prirodoobustroystva-490181"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https://urait.ru/book/osnovy-prirodopolzovaniya-i-prirodoobustroystva-490181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Т. А. Акимова, 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Хаскин В.В.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 : ЮНИТИ-ДАНА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"https://znanium.com/catalog/document?id=341550"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https://znanium.com/catalog/document?id=341550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 xml:space="preserve">         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Маврищев В. 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Общая экология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fldChar w:fldCharType="begin"/>
            </w:r>
            <w:r>
              <w:rPr>
                <w:rFonts w:ascii="Times" w:hAnsi="Times"/>
              </w:rPr>
              <w:instrText xml:space="preserve"> HYPERLINK "http://znanium.com/catalog/product/400685" </w:instrText>
            </w:r>
            <w:r>
              <w:rPr>
                <w:rFonts w:ascii="Times" w:hAnsi="Times"/>
              </w:rPr>
              <w:fldChar w:fldCharType="separate"/>
            </w:r>
            <w:r>
              <w:rPr>
                <w:rStyle w:val="16"/>
                <w:rFonts w:ascii="Times" w:hAnsi="Times"/>
              </w:rPr>
              <w:t>http://znanium.com/catalog/product/400685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hint="default" w:ascii="Times" w:hAnsi="Times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Волкова П.А.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Форум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color w:val="000000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"https://znanium.com/catalog/document?id=372536"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https://znanium.com/catalog/document?id=372536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Романова Э.П.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Глобальные геоэкологические проблемы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Учебное пособие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"https://urait.ru/book/globalnye-geoekologicheskie-problemy-493141"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https://urait.ru/book/globalnye-geoekologicheskie-problemy-493141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Промышленная экология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"https://urait.ru/book/promyshlennaya-ekologiya-488228"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https://urait.ru/book/promyshlennaya-ekologiya-488228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Экология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"https://urait.ru/book/ekologiya-490355"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https://urait.ru/book/ekologiya-490355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</w:rPr>
              <w:t>Брославский Л. И.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Монография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"https://znanium.com/catalog/document?id=385871"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https://znanium.com/catalog/document?id=385871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Седляров О.И.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Гуторова Н.В.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Экологический расчет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выбросов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загрязняющих веществ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 атмосферу от</w:t>
            </w:r>
          </w:p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предприятий легкой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промышленности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Гуторова Н.В.,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  <w:bdr w:val="single" w:color="auto" w:sz="4" w:space="0"/>
              </w:rPr>
              <w:t>Балова А.Н.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современной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современной экологии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Н. В. Гуторова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Основы современной экологии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А. С. Белоусов,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М.А. Апарушкина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Курин В. И.  Живайкин Л. Я.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Е. Денисов,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В. Гуторова,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</w:tbl>
    <w:p/>
    <w:p>
      <w:pPr>
        <w:pStyle w:val="62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6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p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96EAA"/>
    <w:multiLevelType w:val="singleLevel"/>
    <w:tmpl w:val="8C596E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D3895E"/>
    <w:multiLevelType w:val="singleLevel"/>
    <w:tmpl w:val="A6D389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20E1302"/>
    <w:multiLevelType w:val="singleLevel"/>
    <w:tmpl w:val="B20E1302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D5E8580C"/>
    <w:multiLevelType w:val="singleLevel"/>
    <w:tmpl w:val="D5E8580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E7A196C"/>
    <w:multiLevelType w:val="singleLevel"/>
    <w:tmpl w:val="DE7A196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12BCCA0"/>
    <w:multiLevelType w:val="singleLevel"/>
    <w:tmpl w:val="E12BCC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D886D94"/>
    <w:multiLevelType w:val="singleLevel"/>
    <w:tmpl w:val="ED886D9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868A80E"/>
    <w:multiLevelType w:val="singleLevel"/>
    <w:tmpl w:val="F868A80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AD3674C"/>
    <w:multiLevelType w:val="singleLevel"/>
    <w:tmpl w:val="0AD3674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8017E4"/>
    <w:multiLevelType w:val="singleLevel"/>
    <w:tmpl w:val="608017E4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7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DBFB04"/>
    <w:multiLevelType w:val="singleLevel"/>
    <w:tmpl w:val="7ADBFB04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7BDD7AB3"/>
    <w:multiLevelType w:val="singleLevel"/>
    <w:tmpl w:val="7BDD7AB3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6"/>
    <w:lvlOverride w:ilvl="0">
      <w:startOverride w:val="1"/>
    </w:lvlOverride>
  </w:num>
  <w:num w:numId="4">
    <w:abstractNumId w:val="21"/>
  </w:num>
  <w:num w:numId="5">
    <w:abstractNumId w:val="15"/>
  </w:num>
  <w:num w:numId="6">
    <w:abstractNumId w:val="25"/>
  </w:num>
  <w:num w:numId="7">
    <w:abstractNumId w:val="24"/>
  </w:num>
  <w:num w:numId="8">
    <w:abstractNumId w:val="18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2"/>
  </w:num>
  <w:num w:numId="16">
    <w:abstractNumId w:val="13"/>
  </w:num>
  <w:num w:numId="17">
    <w:abstractNumId w:val="29"/>
  </w:num>
  <w:num w:numId="18">
    <w:abstractNumId w:val="7"/>
  </w:num>
  <w:num w:numId="19">
    <w:abstractNumId w:val="3"/>
  </w:num>
  <w:num w:numId="20">
    <w:abstractNumId w:val="6"/>
  </w:num>
  <w:num w:numId="21">
    <w:abstractNumId w:val="5"/>
  </w:num>
  <w:num w:numId="22">
    <w:abstractNumId w:val="23"/>
  </w:num>
  <w:num w:numId="23">
    <w:abstractNumId w:val="0"/>
  </w:num>
  <w:num w:numId="24">
    <w:abstractNumId w:val="22"/>
  </w:num>
  <w:num w:numId="25">
    <w:abstractNumId w:val="28"/>
  </w:num>
  <w:num w:numId="26">
    <w:abstractNumId w:val="27"/>
  </w:num>
  <w:num w:numId="27">
    <w:abstractNumId w:val="14"/>
  </w:num>
  <w:num w:numId="28">
    <w:abstractNumId w:val="17"/>
  </w:num>
  <w:num w:numId="29">
    <w:abstractNumId w:val="30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F1D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48B7CE8"/>
    <w:rsid w:val="0E560A4C"/>
    <w:rsid w:val="10A505F5"/>
    <w:rsid w:val="11564DBD"/>
    <w:rsid w:val="131E4BE1"/>
    <w:rsid w:val="14AF20CB"/>
    <w:rsid w:val="16A800C9"/>
    <w:rsid w:val="1FC74F15"/>
    <w:rsid w:val="27BC48A7"/>
    <w:rsid w:val="2BDD0A51"/>
    <w:rsid w:val="302E5FA9"/>
    <w:rsid w:val="30353FC1"/>
    <w:rsid w:val="31D7473A"/>
    <w:rsid w:val="34FE0116"/>
    <w:rsid w:val="47FB4EDC"/>
    <w:rsid w:val="47FF6A1A"/>
    <w:rsid w:val="49C1686B"/>
    <w:rsid w:val="4B0C3083"/>
    <w:rsid w:val="4E432209"/>
    <w:rsid w:val="51545370"/>
    <w:rsid w:val="5883409D"/>
    <w:rsid w:val="5A5B7A78"/>
    <w:rsid w:val="5E536930"/>
    <w:rsid w:val="6285517D"/>
    <w:rsid w:val="63471328"/>
    <w:rsid w:val="65E85BD6"/>
    <w:rsid w:val="67781F34"/>
    <w:rsid w:val="69C4622D"/>
    <w:rsid w:val="6EF51E0A"/>
    <w:rsid w:val="7C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12</TotalTime>
  <ScaleCrop>false</ScaleCrop>
  <LinksUpToDate>false</LinksUpToDate>
  <CharactersWithSpaces>63478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2022-04-08T13:09:21Z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21827D1521B548F78D73DB62235EFFCD</vt:lpwstr>
  </property>
</Properties>
</file>