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D3BDBDB" w:rsidR="00D406CF" w:rsidRPr="000E4F4E" w:rsidRDefault="00D4013D" w:rsidP="002B4E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</w:t>
            </w:r>
            <w:r w:rsidR="002B4E95">
              <w:rPr>
                <w:rFonts w:eastAsia="Times New Roman"/>
                <w:sz w:val="26"/>
                <w:szCs w:val="26"/>
              </w:rPr>
              <w:t>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7B2B5D7" w:rsidR="00D1678A" w:rsidRPr="00E702C8" w:rsidRDefault="00D4013D" w:rsidP="00741806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29.03.0</w:t>
            </w:r>
            <w:r w:rsidR="00741806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02FBE3EF" w:rsidR="00D1678A" w:rsidRPr="00E702C8" w:rsidRDefault="00741806" w:rsidP="007418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B36461" w:rsidR="00D1678A" w:rsidRPr="00E702C8" w:rsidRDefault="00542D6C" w:rsidP="00542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5ACEE4" w:rsidR="00D1678A" w:rsidRPr="00E702C8" w:rsidRDefault="00BC6B7C" w:rsidP="00BC6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4013D"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8FC5CD0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4A1091">
        <w:rPr>
          <w:sz w:val="24"/>
          <w:szCs w:val="24"/>
        </w:rPr>
        <w:t xml:space="preserve"> </w:t>
      </w:r>
      <w:bookmarkStart w:id="6" w:name="_GoBack"/>
      <w:bookmarkEnd w:id="6"/>
      <w:r w:rsidR="005B15F8">
        <w:rPr>
          <w:sz w:val="24"/>
          <w:szCs w:val="24"/>
        </w:rPr>
        <w:t>третьем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7AAE1E51" w:rsidR="009664F2" w:rsidRPr="00355F13" w:rsidRDefault="005B15F8" w:rsidP="005B15F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A498054" w:rsidR="007E18CB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3C9989D8" w14:textId="46523C3F" w:rsidR="007B449A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C725C">
        <w:rPr>
          <w:sz w:val="24"/>
          <w:szCs w:val="24"/>
        </w:rPr>
        <w:t>атериаловедение</w:t>
      </w:r>
      <w:r w:rsidR="00834AB1">
        <w:rPr>
          <w:sz w:val="24"/>
          <w:szCs w:val="24"/>
        </w:rPr>
        <w:t>;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 основе законов механики описывать основные виды движения 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52B0D81B" w14:textId="2B18AD48" w:rsidR="00C87339" w:rsidRPr="007F6E6D" w:rsidRDefault="00004AB5" w:rsidP="00AF19C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lastRenderedPageBreak/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0A7A74" w:rsidRPr="00F31E81" w14:paraId="216CEF22" w14:textId="77777777" w:rsidTr="00741806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938" w14:textId="0C65829D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741806">
              <w:rPr>
                <w:rFonts w:eastAsia="Times New Roman"/>
                <w:color w:val="000000"/>
              </w:rPr>
              <w:t>3</w:t>
            </w:r>
          </w:p>
          <w:p w14:paraId="46FA217C" w14:textId="70924244" w:rsidR="000A7A74" w:rsidRPr="007F6E6D" w:rsidRDefault="00741806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41806">
              <w:rPr>
                <w:rFonts w:eastAsia="Times New Roman"/>
                <w:color w:val="000000"/>
              </w:rPr>
              <w:t xml:space="preserve">Проведение измерений параметров материалов, изделий и технологических процессов производства изделий легкой </w:t>
            </w:r>
            <w:r w:rsidRPr="00741806">
              <w:rPr>
                <w:rFonts w:eastAsia="Times New Roman"/>
                <w:color w:val="000000"/>
              </w:rPr>
              <w:lastRenderedPageBreak/>
              <w:t>промышленности с учетом технических возможностей предприятия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41806" w:rsidRPr="00741806" w14:paraId="2602B856" w14:textId="77777777" w:rsidTr="000A7A74">
        <w:trPr>
          <w:trHeight w:val="14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CBDC" w14:textId="77777777" w:rsidR="00741806" w:rsidRDefault="00741806" w:rsidP="00AF19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806">
              <w:rPr>
                <w:sz w:val="22"/>
                <w:szCs w:val="22"/>
              </w:rPr>
              <w:lastRenderedPageBreak/>
              <w:t>ОПК-3</w:t>
            </w:r>
          </w:p>
          <w:p w14:paraId="4F85CFA8" w14:textId="1248ECF8" w:rsidR="00AF19CC" w:rsidRPr="00741806" w:rsidRDefault="00AF19CC" w:rsidP="00AF19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9CC">
              <w:rPr>
                <w:sz w:val="22"/>
                <w:szCs w:val="22"/>
              </w:rPr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7A290" w14:textId="77777777" w:rsidR="00741806" w:rsidRDefault="00741806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ИД-ОПК-3.1</w:t>
            </w:r>
          </w:p>
          <w:p w14:paraId="5B7C4E2D" w14:textId="1AD8E3C9" w:rsidR="00AF19CC" w:rsidRPr="00741806" w:rsidRDefault="00AF19CC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F19CC">
              <w:rPr>
                <w:rFonts w:eastAsia="Times New Roman"/>
                <w:color w:val="000000"/>
              </w:rPr>
              <w:t>Определение методов измерения параметров материалов и изделий легкой промышленности; установление порядка обработки результатов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EEA3" w14:textId="5630D999" w:rsidR="00741806" w:rsidRPr="00741806" w:rsidRDefault="00AF19C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Default="00342AAE" w:rsidP="00272A10">
      <w:pPr>
        <w:pStyle w:val="af0"/>
        <w:ind w:left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2685766" w14:textId="77777777" w:rsidR="00AA36AC" w:rsidRDefault="00AA36AC" w:rsidP="00272A10">
      <w:pPr>
        <w:pStyle w:val="af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CFE9F31" w:rsidR="00560461" w:rsidRPr="00976CA1" w:rsidRDefault="00484636" w:rsidP="0048463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E25B566" w:rsidR="00560461" w:rsidRPr="00976CA1" w:rsidRDefault="00484636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301BA366" w:rsidR="005322E3" w:rsidRPr="005322E3" w:rsidRDefault="005B15F8" w:rsidP="005B15F8">
            <w:r>
              <w:t>3</w:t>
            </w:r>
            <w:r w:rsidR="005322E3"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543BC253" w:rsidR="005322E3" w:rsidRPr="00A5094C" w:rsidRDefault="005322E3" w:rsidP="00B5274D">
            <w:pPr>
              <w:ind w:left="28"/>
              <w:jc w:val="center"/>
            </w:pPr>
            <w:r w:rsidRPr="00A5094C">
              <w:t>1</w:t>
            </w:r>
            <w:r w:rsidR="00B5274D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649A974B" w:rsidR="005322E3" w:rsidRPr="00A5094C" w:rsidRDefault="005B15F8" w:rsidP="0091401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95D22DD" w14:textId="66CBEEAA" w:rsidR="005322E3" w:rsidRPr="00A5094C" w:rsidRDefault="005322E3" w:rsidP="009140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0F4E4E" w14:textId="06436C03" w:rsidR="005322E3" w:rsidRPr="00A5094C" w:rsidRDefault="005B15F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6CFB7256" w:rsidR="005322E3" w:rsidRDefault="005B15F8" w:rsidP="00484636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2DDC12BF" w14:textId="0CAB8D4D" w:rsidR="005322E3" w:rsidRPr="00A5094C" w:rsidRDefault="005B15F8" w:rsidP="00484636">
            <w:pPr>
              <w:ind w:left="28"/>
              <w:jc w:val="center"/>
            </w:pPr>
            <w:r>
              <w:t>36</w:t>
            </w:r>
          </w:p>
        </w:tc>
      </w:tr>
      <w:tr w:rsidR="0048463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84636" w:rsidRPr="00B02E88" w:rsidRDefault="0048463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3E0AA68" w:rsidR="00484636" w:rsidRPr="00A5094C" w:rsidRDefault="00484636" w:rsidP="009B399A">
            <w:pPr>
              <w:ind w:left="28"/>
              <w:jc w:val="center"/>
            </w:pPr>
            <w:r w:rsidRPr="00A5094C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19AB11B5" w:rsidR="00484636" w:rsidRPr="00A5094C" w:rsidRDefault="005B15F8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388FDCB4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D404775" w:rsidR="00484636" w:rsidRPr="00A5094C" w:rsidRDefault="005B15F8" w:rsidP="005B15F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3D94D93" w:rsidR="00484636" w:rsidRPr="00A5094C" w:rsidRDefault="005B15F8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4B9862F2" w:rsidR="00484636" w:rsidRPr="00A5094C" w:rsidRDefault="005B15F8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118F4" w:rsidRPr="006168DD" w14:paraId="2418F026" w14:textId="77777777" w:rsidTr="00AA36A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AA3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AA36A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AA36A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AA36A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AA36A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77777777" w:rsidR="00B118F4" w:rsidRPr="00A06CF3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B118F4" w:rsidRPr="006168DD" w14:paraId="0C2BB7B7" w14:textId="77777777" w:rsidTr="00AA36AC">
        <w:trPr>
          <w:trHeight w:val="227"/>
        </w:trPr>
        <w:tc>
          <w:tcPr>
            <w:tcW w:w="1701" w:type="dxa"/>
            <w:vMerge w:val="restart"/>
          </w:tcPr>
          <w:p w14:paraId="7CF44776" w14:textId="77777777" w:rsidR="00B118F4" w:rsidRPr="00D11F1C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66842F" w14:textId="77777777" w:rsidR="00B118F4" w:rsidRPr="00D11F1C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1E9E4E6" w14:textId="77777777" w:rsidR="00B118F4" w:rsidRPr="00351AE6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34FF45FD" w14:textId="77777777" w:rsidR="00B118F4" w:rsidRPr="00286C23" w:rsidRDefault="00B118F4" w:rsidP="00AA36AC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402CCD42" w14:textId="648B6F0E" w:rsidR="00B118F4" w:rsidRPr="00286C23" w:rsidRDefault="005B15F8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CB285C" w14:textId="138AFF94" w:rsidR="00B118F4" w:rsidRPr="00286C23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7FA8F" w14:textId="77777777" w:rsidR="00B118F4" w:rsidRPr="00286C23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6" w:type="dxa"/>
          </w:tcPr>
          <w:p w14:paraId="2DB40F13" w14:textId="77777777" w:rsidR="00B118F4" w:rsidRPr="00286C23" w:rsidRDefault="00B118F4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31E8C" w14:textId="2E989758" w:rsidR="00B118F4" w:rsidRPr="00286C23" w:rsidRDefault="00B118F4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1E627E">
              <w:t>0</w:t>
            </w:r>
          </w:p>
        </w:tc>
        <w:tc>
          <w:tcPr>
            <w:tcW w:w="4002" w:type="dxa"/>
            <w:vMerge w:val="restart"/>
          </w:tcPr>
          <w:p w14:paraId="45A7C81C" w14:textId="77777777" w:rsidR="00B118F4" w:rsidRPr="00286C23" w:rsidRDefault="00B118F4" w:rsidP="00AA36AC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B118F4" w:rsidRPr="00286C23" w:rsidRDefault="00B118F4" w:rsidP="00AA36AC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2CC1A12D" w14:textId="77777777" w:rsidR="00B118F4" w:rsidRPr="006352CB" w:rsidRDefault="00B118F4" w:rsidP="00AA36AC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B118F4" w:rsidRPr="00286C23" w:rsidRDefault="00B118F4" w:rsidP="00AA36AC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AA36AC">
        <w:tc>
          <w:tcPr>
            <w:tcW w:w="1701" w:type="dxa"/>
            <w:vMerge/>
          </w:tcPr>
          <w:p w14:paraId="04339531" w14:textId="77777777" w:rsidR="00B118F4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F24A2" w14:textId="77777777" w:rsidR="00B118F4" w:rsidRPr="00286C23" w:rsidRDefault="00B118F4" w:rsidP="00AA36AC">
            <w:r w:rsidRPr="00286C23">
              <w:t xml:space="preserve">Тема 1.1 </w:t>
            </w:r>
          </w:p>
          <w:p w14:paraId="765D3EA7" w14:textId="00C316E3" w:rsidR="00B118F4" w:rsidRPr="00286C23" w:rsidRDefault="00B118F4" w:rsidP="005B15F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72398AC5" w14:textId="77777777" w:rsidR="00B118F4" w:rsidRPr="00286C23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48D9C62" w14:textId="77777777" w:rsidR="00B118F4" w:rsidRPr="00286C23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515F8" w14:textId="77777777" w:rsidR="00B118F4" w:rsidRPr="00286C23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18B80B" w14:textId="77777777" w:rsidR="00B118F4" w:rsidRPr="00286C23" w:rsidRDefault="00B118F4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3585" w14:textId="5CF73FE6" w:rsidR="00B118F4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D66F9A5" w14:textId="77777777" w:rsidR="00B118F4" w:rsidRPr="00286C23" w:rsidRDefault="00B118F4" w:rsidP="00AA36AC">
            <w:pPr>
              <w:jc w:val="both"/>
              <w:rPr>
                <w:i/>
              </w:rPr>
            </w:pPr>
          </w:p>
        </w:tc>
      </w:tr>
      <w:tr w:rsidR="00B118F4" w:rsidRPr="006168DD" w14:paraId="37F31115" w14:textId="77777777" w:rsidTr="00AA36AC">
        <w:tc>
          <w:tcPr>
            <w:tcW w:w="1701" w:type="dxa"/>
            <w:vMerge/>
          </w:tcPr>
          <w:p w14:paraId="11E5AEDF" w14:textId="77777777" w:rsidR="00B118F4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267BF" w14:textId="2465C4A5" w:rsidR="00B118F4" w:rsidRPr="00286C23" w:rsidRDefault="00B118F4" w:rsidP="00AA36AC">
            <w:r w:rsidRPr="00286C23">
              <w:t>Тема 1.</w:t>
            </w:r>
            <w:r w:rsidR="005B15F8">
              <w:t>2</w:t>
            </w:r>
          </w:p>
          <w:p w14:paraId="4702CFD8" w14:textId="193940B2" w:rsidR="00B118F4" w:rsidRPr="00286C23" w:rsidRDefault="00B118F4" w:rsidP="005B15F8">
            <w:pPr>
              <w:rPr>
                <w:i/>
              </w:rPr>
            </w:pPr>
            <w:r w:rsidRPr="00286C23">
              <w:t>Динамика</w:t>
            </w:r>
            <w:r w:rsidR="005B15F8">
              <w:t>.</w:t>
            </w:r>
          </w:p>
        </w:tc>
        <w:tc>
          <w:tcPr>
            <w:tcW w:w="815" w:type="dxa"/>
          </w:tcPr>
          <w:p w14:paraId="51EC79EB" w14:textId="77777777" w:rsidR="00B118F4" w:rsidRPr="00286C23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80E0E26" w14:textId="77777777" w:rsidR="00B118F4" w:rsidRPr="00286C23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1C994" w14:textId="77777777" w:rsidR="00B118F4" w:rsidRPr="00286C23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23AF" w14:textId="77777777" w:rsidR="00B118F4" w:rsidRPr="00286C23" w:rsidRDefault="00B118F4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68C026" w14:textId="0C90BA5D" w:rsidR="00B118F4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8A047E5" w14:textId="77777777" w:rsidR="00B118F4" w:rsidRPr="00286C23" w:rsidRDefault="00B118F4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C42" w:rsidRPr="006168DD" w14:paraId="6ABA1773" w14:textId="77777777" w:rsidTr="00AA36AC">
        <w:tc>
          <w:tcPr>
            <w:tcW w:w="1701" w:type="dxa"/>
            <w:vMerge/>
          </w:tcPr>
          <w:p w14:paraId="4D968BD4" w14:textId="77777777" w:rsidR="00547C42" w:rsidRPr="00413F35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FAE528" w14:textId="77777777" w:rsidR="00547C42" w:rsidRPr="00286C23" w:rsidRDefault="00547C42" w:rsidP="007B71A9">
            <w:r w:rsidRPr="00286C23">
              <w:t xml:space="preserve">Лабораторная работа № 1.1 </w:t>
            </w:r>
          </w:p>
          <w:p w14:paraId="60F671B8" w14:textId="6D35DF7C" w:rsidR="00547C42" w:rsidRPr="00286C23" w:rsidRDefault="00547C42" w:rsidP="00AA36AC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69757868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92271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B4223" w14:textId="074CD2A9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3B50091" w14:textId="77777777" w:rsidR="00547C42" w:rsidRPr="00286C23" w:rsidRDefault="00547C42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3C24D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A1AEC2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C42" w:rsidRPr="006168DD" w14:paraId="1649F7BA" w14:textId="77777777" w:rsidTr="00AA36AC">
        <w:tc>
          <w:tcPr>
            <w:tcW w:w="1701" w:type="dxa"/>
            <w:vMerge/>
          </w:tcPr>
          <w:p w14:paraId="611025BD" w14:textId="77777777" w:rsidR="00547C42" w:rsidRPr="00413F35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3A60FB" w14:textId="77777777" w:rsidR="00547C42" w:rsidRPr="00286C23" w:rsidRDefault="00547C42" w:rsidP="007B71A9">
            <w:r w:rsidRPr="00286C23">
              <w:t xml:space="preserve">Лабораторная работа № 1.2 </w:t>
            </w:r>
          </w:p>
          <w:p w14:paraId="4384AE22" w14:textId="3FA750E1" w:rsidR="00547C42" w:rsidRPr="00286C23" w:rsidRDefault="00547C42" w:rsidP="00AA36AC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54192C76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CB8A19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7DDC1D" w14:textId="10D69D76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A72281D" w14:textId="77777777" w:rsidR="00547C42" w:rsidRPr="00286C23" w:rsidRDefault="00547C42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79C9D0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3FEBE9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C42" w:rsidRPr="006168DD" w14:paraId="096C611C" w14:textId="77777777" w:rsidTr="00AA36AC">
        <w:tc>
          <w:tcPr>
            <w:tcW w:w="1701" w:type="dxa"/>
            <w:vMerge/>
          </w:tcPr>
          <w:p w14:paraId="662B181B" w14:textId="77777777" w:rsidR="00547C42" w:rsidRPr="00413F35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3638E" w14:textId="77777777" w:rsidR="00547C42" w:rsidRPr="00286C23" w:rsidRDefault="00547C42" w:rsidP="007B71A9">
            <w:r w:rsidRPr="00286C23">
              <w:t xml:space="preserve">Лабораторная работа № 1.3 </w:t>
            </w:r>
          </w:p>
          <w:p w14:paraId="1E48AC30" w14:textId="43EEEE17" w:rsidR="00547C42" w:rsidRPr="00286C23" w:rsidRDefault="00547C42" w:rsidP="00AA36AC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650261E3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722100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C72D" w14:textId="4030C85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EAE02CF" w14:textId="77777777" w:rsidR="00547C42" w:rsidRPr="00286C23" w:rsidRDefault="00547C42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AE8388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F8EB6D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C42" w:rsidRPr="006168DD" w14:paraId="34B72AC7" w14:textId="77777777" w:rsidTr="00AA36AC">
        <w:tc>
          <w:tcPr>
            <w:tcW w:w="1701" w:type="dxa"/>
            <w:vMerge/>
          </w:tcPr>
          <w:p w14:paraId="002298DB" w14:textId="77777777" w:rsidR="00547C42" w:rsidRPr="00413F35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57DB2A" w14:textId="77777777" w:rsidR="00547C42" w:rsidRPr="00286C23" w:rsidRDefault="00547C42" w:rsidP="007B71A9">
            <w:r w:rsidRPr="00286C23">
              <w:t xml:space="preserve">Лабораторная работа № 1.4 </w:t>
            </w:r>
          </w:p>
          <w:p w14:paraId="4B99BE37" w14:textId="247FC735" w:rsidR="00547C42" w:rsidRPr="00286C23" w:rsidRDefault="00547C42" w:rsidP="001E627E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642329F5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D7E03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8030C" w14:textId="79DFA35C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C89A18D" w14:textId="77777777" w:rsidR="00547C42" w:rsidRPr="00286C23" w:rsidRDefault="00547C42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76EED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71F43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C42" w:rsidRPr="006168DD" w14:paraId="287AE02E" w14:textId="77777777" w:rsidTr="00AA36AC">
        <w:tc>
          <w:tcPr>
            <w:tcW w:w="1701" w:type="dxa"/>
            <w:vMerge w:val="restart"/>
          </w:tcPr>
          <w:p w14:paraId="20601ECC" w14:textId="77777777" w:rsidR="00547C42" w:rsidRPr="00D11F1C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28A3554" w14:textId="77777777" w:rsidR="00547C42" w:rsidRPr="00D11F1C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2B2C9A5A" w14:textId="77777777" w:rsidR="00547C42" w:rsidRPr="006168DD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692A496E" w14:textId="77777777" w:rsidR="00547C42" w:rsidRPr="00286C23" w:rsidRDefault="00547C42" w:rsidP="00AA36AC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164FFFE4" w14:textId="5F4B279D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189C22" w14:textId="1586942A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A70B5" w14:textId="2349466B" w:rsidR="00547C42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C32BDF8" w14:textId="77777777" w:rsidR="00547C42" w:rsidRPr="00286C23" w:rsidRDefault="00547C42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DAB7" w14:textId="3CC0FA7F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C096FA0" w14:textId="77777777" w:rsidR="00547C42" w:rsidRPr="00286C23" w:rsidRDefault="00547C42" w:rsidP="00AA36AC">
            <w:r w:rsidRPr="00286C23">
              <w:t xml:space="preserve">Формы текущего контроля </w:t>
            </w:r>
          </w:p>
          <w:p w14:paraId="410C4277" w14:textId="77777777" w:rsidR="00547C42" w:rsidRPr="00286C23" w:rsidRDefault="00547C42" w:rsidP="00AA36AC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5D640D6C" w14:textId="77777777" w:rsidR="00547C42" w:rsidRPr="00286C23" w:rsidRDefault="00547C42" w:rsidP="00AA36AC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547C42" w:rsidRPr="006352CB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547C42" w:rsidRPr="006168DD" w14:paraId="36E705E9" w14:textId="77777777" w:rsidTr="00AA36AC">
        <w:tc>
          <w:tcPr>
            <w:tcW w:w="1701" w:type="dxa"/>
            <w:vMerge/>
          </w:tcPr>
          <w:p w14:paraId="0CF70514" w14:textId="77777777" w:rsidR="00547C42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A84DD" w14:textId="77777777" w:rsidR="00547C42" w:rsidRPr="00286C23" w:rsidRDefault="00547C42" w:rsidP="00AA36AC">
            <w:r w:rsidRPr="00286C23">
              <w:t xml:space="preserve">Тема 2.1 </w:t>
            </w:r>
          </w:p>
          <w:p w14:paraId="0C17FFC2" w14:textId="603E69FC" w:rsidR="00547C42" w:rsidRPr="00286C23" w:rsidRDefault="00547C42" w:rsidP="005B15F8">
            <w:pPr>
              <w:tabs>
                <w:tab w:val="right" w:pos="5737"/>
              </w:tabs>
            </w:pPr>
            <w:r w:rsidRPr="00286C23">
              <w:t xml:space="preserve">Основное уравнение кинетической теории газов. </w:t>
            </w:r>
            <w:r>
              <w:t>Начала термодинамики</w:t>
            </w:r>
          </w:p>
        </w:tc>
        <w:tc>
          <w:tcPr>
            <w:tcW w:w="815" w:type="dxa"/>
          </w:tcPr>
          <w:p w14:paraId="0FBB777E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E3D13A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E573E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5AFB3" w14:textId="77777777" w:rsidR="00547C42" w:rsidRPr="00286C23" w:rsidRDefault="00547C42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25F7C" w14:textId="40889FEB" w:rsidR="00547C42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64602D2" w14:textId="77777777" w:rsidR="00547C42" w:rsidRPr="00286C23" w:rsidRDefault="00547C42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3C0B" w:rsidRPr="006168DD" w14:paraId="52A2AB7C" w14:textId="77777777" w:rsidTr="00AA36AC">
        <w:tc>
          <w:tcPr>
            <w:tcW w:w="1701" w:type="dxa"/>
            <w:vMerge/>
          </w:tcPr>
          <w:p w14:paraId="14C9A85A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81B5EF" w14:textId="77777777" w:rsidR="00893C0B" w:rsidRPr="00286C23" w:rsidRDefault="00893C0B" w:rsidP="007B71A9">
            <w:r w:rsidRPr="00286C23">
              <w:t xml:space="preserve">Лабораторная работа № 2.1 </w:t>
            </w:r>
          </w:p>
          <w:p w14:paraId="63CB8DDE" w14:textId="332D7734" w:rsidR="00893C0B" w:rsidRPr="00286C23" w:rsidRDefault="00893C0B" w:rsidP="00AA36A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130E6CB2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CA37C" w14:textId="5574D591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89615" w14:textId="7242D683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6" w:type="dxa"/>
          </w:tcPr>
          <w:p w14:paraId="0732426E" w14:textId="77777777" w:rsidR="00893C0B" w:rsidRPr="00286C23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1C2E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E4CD3E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3C0B" w:rsidRPr="006168DD" w14:paraId="6A349A08" w14:textId="77777777" w:rsidTr="00AA36AC">
        <w:tc>
          <w:tcPr>
            <w:tcW w:w="1701" w:type="dxa"/>
            <w:vMerge/>
          </w:tcPr>
          <w:p w14:paraId="41BA5033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C4A84" w14:textId="77777777" w:rsidR="00893C0B" w:rsidRPr="00286C23" w:rsidRDefault="00893C0B" w:rsidP="007B71A9">
            <w:r w:rsidRPr="00286C23">
              <w:t>Лабораторная работа № 2.2</w:t>
            </w:r>
          </w:p>
          <w:p w14:paraId="23A380CE" w14:textId="72D606FB" w:rsidR="00893C0B" w:rsidRPr="00286C23" w:rsidRDefault="00893C0B" w:rsidP="00893C0B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5291353A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3DC78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1DBEBC" w14:textId="65BF092E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6" w:type="dxa"/>
          </w:tcPr>
          <w:p w14:paraId="222B15A7" w14:textId="77777777" w:rsidR="00893C0B" w:rsidRPr="00286C23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EA7BF6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A27377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3C0B" w:rsidRPr="006168DD" w14:paraId="0027BF85" w14:textId="77777777" w:rsidTr="00AA36AC">
        <w:tc>
          <w:tcPr>
            <w:tcW w:w="1701" w:type="dxa"/>
            <w:vMerge w:val="restart"/>
          </w:tcPr>
          <w:p w14:paraId="224F6448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5AC6D65A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91A28E1" w14:textId="77777777" w:rsidR="00893C0B" w:rsidRPr="006168DD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1B9F0A5F" w14:textId="77777777" w:rsidR="00893C0B" w:rsidRPr="00286C23" w:rsidRDefault="00893C0B" w:rsidP="00AA36AC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F5D8EB1" w14:textId="459714DB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337EE47" w14:textId="5007F099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CC255" w14:textId="5385D459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B77F49F" w14:textId="77777777" w:rsidR="00893C0B" w:rsidRPr="00286C23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05C04" w14:textId="2CDABCAA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706E0A4" w14:textId="77777777" w:rsidR="00893C0B" w:rsidRPr="00286C23" w:rsidRDefault="00893C0B" w:rsidP="00AA36AC">
            <w:r w:rsidRPr="00286C23">
              <w:t xml:space="preserve">Формы текущего контроля </w:t>
            </w:r>
          </w:p>
          <w:p w14:paraId="6DE4CF96" w14:textId="77777777" w:rsidR="00893C0B" w:rsidRPr="00286C23" w:rsidRDefault="00893C0B" w:rsidP="00AA36AC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61F0D3CA" w14:textId="77777777" w:rsidR="00893C0B" w:rsidRPr="00286C23" w:rsidRDefault="00893C0B" w:rsidP="00AA36AC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893C0B" w:rsidRPr="00286C23" w:rsidRDefault="00893C0B" w:rsidP="00AA36AC">
            <w:r w:rsidRPr="00286C23">
              <w:t>-письменный отчет по лабораторной работе.</w:t>
            </w:r>
          </w:p>
        </w:tc>
      </w:tr>
      <w:tr w:rsidR="00893C0B" w:rsidRPr="006168DD" w14:paraId="6F640F07" w14:textId="77777777" w:rsidTr="00AA36AC">
        <w:tc>
          <w:tcPr>
            <w:tcW w:w="1701" w:type="dxa"/>
            <w:vMerge/>
          </w:tcPr>
          <w:p w14:paraId="0FEB0399" w14:textId="77777777" w:rsidR="00893C0B" w:rsidRPr="007F67CF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5F5B37D" w14:textId="77777777" w:rsidR="00893C0B" w:rsidRPr="00286C23" w:rsidRDefault="00893C0B" w:rsidP="00AA36AC">
            <w:r w:rsidRPr="00286C23">
              <w:t xml:space="preserve">Тема 3.1 </w:t>
            </w:r>
          </w:p>
          <w:p w14:paraId="7DF39F60" w14:textId="77777777" w:rsidR="00893C0B" w:rsidRPr="00286C23" w:rsidRDefault="00893C0B" w:rsidP="00AA36AC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0636178C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1F81A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7D7A8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93C8C" w14:textId="77777777" w:rsidR="00893C0B" w:rsidRPr="005B225F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48BB8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30E8EA" w14:textId="77777777" w:rsidR="00893C0B" w:rsidRPr="003A3CAB" w:rsidRDefault="00893C0B" w:rsidP="00AA36A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93C0B" w:rsidRPr="006168DD" w14:paraId="7A812551" w14:textId="77777777" w:rsidTr="00AA36AC">
        <w:tc>
          <w:tcPr>
            <w:tcW w:w="1701" w:type="dxa"/>
            <w:vMerge/>
          </w:tcPr>
          <w:p w14:paraId="313DF357" w14:textId="77777777" w:rsidR="00893C0B" w:rsidRPr="007F67CF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AD22F4" w14:textId="39E8FDF2" w:rsidR="00893C0B" w:rsidRPr="00286C23" w:rsidRDefault="00893C0B" w:rsidP="00AA36AC">
            <w:r>
              <w:t>Тема 3.2</w:t>
            </w:r>
          </w:p>
          <w:p w14:paraId="7D22B604" w14:textId="77777777" w:rsidR="00893C0B" w:rsidRPr="00286C23" w:rsidRDefault="00893C0B" w:rsidP="00AA36A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37ADAD51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CDECBA1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692BE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83FCB" w14:textId="77777777" w:rsidR="00893C0B" w:rsidRPr="00286C23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40E22" w14:textId="67D4E50C" w:rsidR="00893C0B" w:rsidRPr="00272A1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7BF21D0" w14:textId="77777777" w:rsidR="00893C0B" w:rsidRPr="003A3CAB" w:rsidRDefault="00893C0B" w:rsidP="00AA36A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93C0B" w:rsidRPr="006168DD" w14:paraId="544FB9F4" w14:textId="77777777" w:rsidTr="00AA36AC">
        <w:tc>
          <w:tcPr>
            <w:tcW w:w="1701" w:type="dxa"/>
            <w:vMerge/>
          </w:tcPr>
          <w:p w14:paraId="43270C91" w14:textId="77777777" w:rsidR="00893C0B" w:rsidRPr="007F67CF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1E084C0" w14:textId="77777777" w:rsidR="00893C0B" w:rsidRPr="00286C23" w:rsidRDefault="00893C0B" w:rsidP="007B71A9">
            <w:r w:rsidRPr="00286C23">
              <w:t>Лабораторная работа № 3.1</w:t>
            </w:r>
          </w:p>
          <w:p w14:paraId="1997505A" w14:textId="1D51728C" w:rsidR="00893C0B" w:rsidRPr="00286C23" w:rsidRDefault="00893C0B" w:rsidP="00AA36AC">
            <w:pPr>
              <w:rPr>
                <w:b/>
              </w:rPr>
            </w:pPr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5CF25633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1C3A2" w14:textId="58A43290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B0747" w14:textId="2E3496A8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6F2F813" w14:textId="77777777" w:rsidR="00893C0B" w:rsidRPr="00286C23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3BD1B" w14:textId="77777777" w:rsidR="00893C0B" w:rsidRPr="00272A1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A843C" w14:textId="77777777" w:rsidR="00893C0B" w:rsidRPr="003A3CAB" w:rsidRDefault="00893C0B" w:rsidP="00AA36A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93C0B" w:rsidRPr="006168DD" w14:paraId="76DFF180" w14:textId="77777777" w:rsidTr="00AA36AC">
        <w:tc>
          <w:tcPr>
            <w:tcW w:w="1701" w:type="dxa"/>
            <w:vMerge/>
          </w:tcPr>
          <w:p w14:paraId="7F8D42D6" w14:textId="77777777" w:rsidR="00893C0B" w:rsidRPr="007F67CF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284646D" w14:textId="77777777" w:rsidR="00893C0B" w:rsidRPr="00286C23" w:rsidRDefault="00893C0B" w:rsidP="007B71A9">
            <w:r w:rsidRPr="00286C23">
              <w:t>Лабораторная работа № 3.2</w:t>
            </w:r>
          </w:p>
          <w:p w14:paraId="694A031A" w14:textId="1C0D88AF" w:rsidR="00893C0B" w:rsidRPr="00286C23" w:rsidRDefault="00893C0B" w:rsidP="00AA36AC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5765E3EC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E5A8A7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83F94A" w14:textId="4E41684E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FF7800" w14:textId="77777777" w:rsidR="00893C0B" w:rsidRPr="00286C23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B9C52" w14:textId="77777777" w:rsidR="00893C0B" w:rsidRPr="00272A1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98ED9A" w14:textId="77777777" w:rsidR="00893C0B" w:rsidRPr="003A3CAB" w:rsidRDefault="00893C0B" w:rsidP="00AA36A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93C0B" w:rsidRPr="006168DD" w14:paraId="72D7F3D4" w14:textId="77777777" w:rsidTr="00AA36AC">
        <w:tc>
          <w:tcPr>
            <w:tcW w:w="1701" w:type="dxa"/>
            <w:vMerge/>
          </w:tcPr>
          <w:p w14:paraId="01A8CA86" w14:textId="77777777" w:rsidR="00893C0B" w:rsidRPr="006168DD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4E3AFB" w14:textId="77777777" w:rsidR="00893C0B" w:rsidRPr="00286C23" w:rsidRDefault="00893C0B" w:rsidP="007B71A9">
            <w:r w:rsidRPr="00286C23">
              <w:t>Лабораторная работа № 3.3</w:t>
            </w:r>
          </w:p>
          <w:p w14:paraId="729F25DC" w14:textId="6D3990F6" w:rsidR="00893C0B" w:rsidRPr="00286C23" w:rsidRDefault="00893C0B" w:rsidP="00AA36AC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5E7C5A5D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37BEC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5FA48" w14:textId="565A7DCD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8EF650F" w14:textId="77777777" w:rsidR="00893C0B" w:rsidRPr="00286C23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89" w14:textId="77777777" w:rsidR="00893C0B" w:rsidRPr="00272A1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CF9CD" w14:textId="77777777" w:rsidR="00893C0B" w:rsidRPr="00DF3C1E" w:rsidRDefault="00893C0B" w:rsidP="00AA36A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93C0B" w:rsidRPr="006168DD" w14:paraId="724FDF98" w14:textId="77777777" w:rsidTr="00AA36AC">
        <w:tc>
          <w:tcPr>
            <w:tcW w:w="1701" w:type="dxa"/>
            <w:vMerge w:val="restart"/>
          </w:tcPr>
          <w:p w14:paraId="25C375E2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568E2E13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278A79FA" w14:textId="77777777" w:rsidR="00893C0B" w:rsidRPr="006168DD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67634F4" w14:textId="77777777" w:rsidR="00893C0B" w:rsidRPr="00286C23" w:rsidRDefault="00893C0B" w:rsidP="00AA36AC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7FDA32E7" w14:textId="6243254B" w:rsidR="00893C0B" w:rsidRPr="00286C23" w:rsidRDefault="00893C0B" w:rsidP="00547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DFC5F2" w14:textId="44FAAC33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9C2D5" w14:textId="726F03EC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8745134" w14:textId="77777777" w:rsidR="00893C0B" w:rsidRPr="00286C23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BF9FA" w14:textId="3F054706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091CD9B" w14:textId="77777777" w:rsidR="00893C0B" w:rsidRPr="003A3CAB" w:rsidRDefault="00893C0B" w:rsidP="00AA36AC">
            <w:r w:rsidRPr="003A3CAB">
              <w:t xml:space="preserve">Формы текущего контроля </w:t>
            </w:r>
          </w:p>
          <w:p w14:paraId="7489685B" w14:textId="77777777" w:rsidR="00893C0B" w:rsidRPr="003A3CAB" w:rsidRDefault="00893C0B" w:rsidP="00AA36AC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F566101" w14:textId="77777777" w:rsidR="00893C0B" w:rsidRDefault="00893C0B" w:rsidP="00AA36AC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5FD465BD" w14:textId="77777777" w:rsidR="00893C0B" w:rsidRPr="00DF3C1E" w:rsidRDefault="00893C0B" w:rsidP="00AA36AC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893C0B" w:rsidRPr="006168DD" w14:paraId="581298C4" w14:textId="77777777" w:rsidTr="00AA36AC">
        <w:tc>
          <w:tcPr>
            <w:tcW w:w="1701" w:type="dxa"/>
            <w:vMerge/>
          </w:tcPr>
          <w:p w14:paraId="7D41C58C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48B76" w14:textId="77777777" w:rsidR="00893C0B" w:rsidRPr="00286C23" w:rsidRDefault="00893C0B" w:rsidP="00AA36AC">
            <w:r w:rsidRPr="00286C23">
              <w:t xml:space="preserve">Тема 4.1 </w:t>
            </w:r>
          </w:p>
          <w:p w14:paraId="63A71498" w14:textId="007A94A8" w:rsidR="00893C0B" w:rsidRPr="00286C23" w:rsidRDefault="00893C0B" w:rsidP="00AA36AC">
            <w:pPr>
              <w:rPr>
                <w:b/>
              </w:rPr>
            </w:pPr>
            <w:r w:rsidRPr="00286C23">
              <w:t>Магнитное поле</w:t>
            </w:r>
            <w:r>
              <w:t>. Индукция.</w:t>
            </w:r>
          </w:p>
        </w:tc>
        <w:tc>
          <w:tcPr>
            <w:tcW w:w="815" w:type="dxa"/>
          </w:tcPr>
          <w:p w14:paraId="1BCDE62F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4504602E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AAD03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FC1FEF" w14:textId="77777777" w:rsidR="00893C0B" w:rsidRPr="00286C23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1F77B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5FF3A4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C0B" w:rsidRPr="006168DD" w14:paraId="5AF9251B" w14:textId="77777777" w:rsidTr="00AA36AC">
        <w:tc>
          <w:tcPr>
            <w:tcW w:w="1701" w:type="dxa"/>
            <w:vMerge/>
          </w:tcPr>
          <w:p w14:paraId="7AD232A2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107852" w14:textId="77777777" w:rsidR="00893C0B" w:rsidRPr="00286C23" w:rsidRDefault="00893C0B" w:rsidP="007B71A9">
            <w:r w:rsidRPr="00286C23">
              <w:t>Лабораторная работа № 4.1</w:t>
            </w:r>
          </w:p>
          <w:p w14:paraId="6B6D5F63" w14:textId="5BE4CFC8" w:rsidR="00893C0B" w:rsidRPr="00286C23" w:rsidRDefault="00893C0B" w:rsidP="00AA36AC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5DF13F64" w14:textId="77777777" w:rsidR="00893C0B" w:rsidRPr="00DF6A55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9C4DC" w14:textId="74041E5E" w:rsidR="00893C0B" w:rsidRPr="00DF6A55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1E41D" w14:textId="5D0DFFDF" w:rsidR="00893C0B" w:rsidRPr="00DF6A55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BB93594" w14:textId="77777777" w:rsidR="00893C0B" w:rsidRPr="00DF6A55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5125" w14:textId="77777777" w:rsidR="00893C0B" w:rsidRPr="00DF6A55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AE53C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C0B" w:rsidRPr="006168DD" w14:paraId="1207D500" w14:textId="77777777" w:rsidTr="00AA36AC">
        <w:tc>
          <w:tcPr>
            <w:tcW w:w="1701" w:type="dxa"/>
            <w:vMerge/>
          </w:tcPr>
          <w:p w14:paraId="043545AE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1DF46F" w14:textId="77777777" w:rsidR="00893C0B" w:rsidRPr="00286C23" w:rsidRDefault="00893C0B" w:rsidP="007B71A9">
            <w:r w:rsidRPr="00286C23">
              <w:t>Лабораторная работа № 4.2</w:t>
            </w:r>
          </w:p>
          <w:p w14:paraId="0ABED78A" w14:textId="01375225" w:rsidR="00893C0B" w:rsidRPr="00286C23" w:rsidRDefault="00893C0B" w:rsidP="00AA36AC"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565F8CDE" w14:textId="77777777" w:rsidR="00893C0B" w:rsidRPr="00DF6A55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AC0248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E051A2" w14:textId="425706D2" w:rsidR="00893C0B" w:rsidRPr="00DF6A55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FA886A5" w14:textId="77777777" w:rsidR="00893C0B" w:rsidRPr="00DF6A55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425D21" w14:textId="77777777" w:rsidR="00893C0B" w:rsidRPr="00DF6A55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B9820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C0B" w:rsidRPr="006168DD" w14:paraId="7E240E92" w14:textId="77777777" w:rsidTr="00AA36AC">
        <w:tc>
          <w:tcPr>
            <w:tcW w:w="1701" w:type="dxa"/>
            <w:vMerge/>
          </w:tcPr>
          <w:p w14:paraId="7D0D8CCB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AD74AB" w14:textId="77777777" w:rsidR="00893C0B" w:rsidRPr="00286C23" w:rsidRDefault="00893C0B" w:rsidP="007B71A9">
            <w:r>
              <w:t>Лабораторная работа № 4.3</w:t>
            </w:r>
          </w:p>
          <w:p w14:paraId="0BDF51C4" w14:textId="5C6182E9" w:rsidR="00893C0B" w:rsidRPr="00286C23" w:rsidRDefault="00893C0B" w:rsidP="00AA36AC">
            <w:r>
              <w:t>Изучение индуктивности катушки.</w:t>
            </w:r>
          </w:p>
        </w:tc>
        <w:tc>
          <w:tcPr>
            <w:tcW w:w="815" w:type="dxa"/>
          </w:tcPr>
          <w:p w14:paraId="11509629" w14:textId="77777777" w:rsidR="00893C0B" w:rsidRPr="00DF6A55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D6115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A259B1" w14:textId="23E806BA" w:rsidR="00893C0B" w:rsidRPr="00DF6A55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257A6D4" w14:textId="77777777" w:rsidR="00893C0B" w:rsidRPr="00DF6A55" w:rsidRDefault="00893C0B" w:rsidP="00AA36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A7F074" w14:textId="77777777" w:rsidR="00893C0B" w:rsidRPr="00DF6A55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C05906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3C0B" w:rsidRPr="006168DD" w14:paraId="2956750E" w14:textId="77777777" w:rsidTr="00AA36AC">
        <w:tc>
          <w:tcPr>
            <w:tcW w:w="1701" w:type="dxa"/>
            <w:vMerge w:val="restart"/>
          </w:tcPr>
          <w:p w14:paraId="742EC3CC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11A7201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2E9464CF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DEC27E1" w14:textId="77777777" w:rsidR="00893C0B" w:rsidRPr="00286C23" w:rsidRDefault="00893C0B" w:rsidP="00AA36AC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37C28B93" w14:textId="0BFF0373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716004" w14:textId="513415C3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D5C95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155A5E3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C99C34" w14:textId="02EAC58C" w:rsidR="00893C0B" w:rsidRPr="002C4EE9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A7A4D35" w14:textId="77777777" w:rsidR="00893C0B" w:rsidRPr="003A3CAB" w:rsidRDefault="00893C0B" w:rsidP="00AA36AC">
            <w:r w:rsidRPr="003A3CAB">
              <w:t xml:space="preserve">Формы текущего контроля </w:t>
            </w:r>
          </w:p>
          <w:p w14:paraId="50F0D926" w14:textId="77777777" w:rsidR="00893C0B" w:rsidRPr="003A3CAB" w:rsidRDefault="00893C0B" w:rsidP="00AA36AC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74D676FE" w14:textId="77777777" w:rsidR="00893C0B" w:rsidRDefault="00893C0B" w:rsidP="00AA36AC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629FD90B" w14:textId="77777777" w:rsidR="00893C0B" w:rsidRPr="00FC478A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893C0B" w:rsidRPr="006168DD" w14:paraId="3FF2662D" w14:textId="77777777" w:rsidTr="00AA36AC">
        <w:tc>
          <w:tcPr>
            <w:tcW w:w="1701" w:type="dxa"/>
            <w:vMerge/>
          </w:tcPr>
          <w:p w14:paraId="74D56FCD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F03E2" w14:textId="77777777" w:rsidR="00893C0B" w:rsidRPr="00286C23" w:rsidRDefault="00893C0B" w:rsidP="00AA36AC">
            <w:r w:rsidRPr="00286C23">
              <w:t xml:space="preserve">Тема 5.1 </w:t>
            </w:r>
          </w:p>
          <w:p w14:paraId="15B4CB0C" w14:textId="77777777" w:rsidR="00893C0B" w:rsidRPr="00286C23" w:rsidRDefault="00893C0B" w:rsidP="00AA36AC">
            <w:r w:rsidRPr="00286C23">
              <w:t>Основные параметры колебаний. Математический, упругий, физический маятники. 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53DE4BF2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1472C9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443C4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287944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0EEFB" w14:textId="0EF83788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9D05C0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3C0B" w:rsidRPr="006168DD" w14:paraId="721F1502" w14:textId="77777777" w:rsidTr="00AA36AC">
        <w:tc>
          <w:tcPr>
            <w:tcW w:w="1701" w:type="dxa"/>
            <w:vMerge/>
          </w:tcPr>
          <w:p w14:paraId="1B86F714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4AD1EC" w14:textId="77777777" w:rsidR="00893C0B" w:rsidRPr="00286C23" w:rsidRDefault="00893C0B" w:rsidP="007B7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4F28BD5C" w14:textId="256448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68F541B2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3E62A40" w14:textId="5633C283" w:rsidR="00893C0B" w:rsidRPr="00BF6B2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EF91E5" w14:textId="133CCF21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34BCE452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8FE75E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4ABE93A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3C0B" w:rsidRPr="006168DD" w14:paraId="3F7793E9" w14:textId="77777777" w:rsidTr="00AA36AC">
        <w:tc>
          <w:tcPr>
            <w:tcW w:w="1701" w:type="dxa"/>
            <w:vMerge/>
          </w:tcPr>
          <w:p w14:paraId="6F2C44EA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A7DB9A" w14:textId="77777777" w:rsidR="00893C0B" w:rsidRPr="00286C23" w:rsidRDefault="00893C0B" w:rsidP="007B7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105CC66A" w14:textId="7CA04975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5234784B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1F7C065" w14:textId="1ABA1247" w:rsidR="00893C0B" w:rsidRPr="00BF6B2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CB2CA" w14:textId="2C2EF549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0E83CFE5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CB35DE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DE6FE6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3C0B" w:rsidRPr="006168DD" w14:paraId="54C07133" w14:textId="77777777" w:rsidTr="00AA36AC">
        <w:tc>
          <w:tcPr>
            <w:tcW w:w="1701" w:type="dxa"/>
            <w:vMerge w:val="restart"/>
          </w:tcPr>
          <w:p w14:paraId="0FEBCC0D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63FFD89A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9256987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5B4E5B39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80E8B39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10FFEAAB" w14:textId="0BEF5AEF" w:rsidR="00893C0B" w:rsidRPr="00CA7677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A573F" w14:textId="7577B1DD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0751DD6A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A7D098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2FA540D" w14:textId="77777777" w:rsidR="00893C0B" w:rsidRPr="003A3CAB" w:rsidRDefault="00893C0B" w:rsidP="00AA36AC">
            <w:r w:rsidRPr="003A3CAB">
              <w:t xml:space="preserve">Формы текущего контроля </w:t>
            </w:r>
          </w:p>
          <w:p w14:paraId="187741BB" w14:textId="77777777" w:rsidR="00893C0B" w:rsidRPr="003A3CAB" w:rsidRDefault="00893C0B" w:rsidP="00AA36AC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2F73796" w14:textId="77777777" w:rsidR="00893C0B" w:rsidRDefault="00893C0B" w:rsidP="00AA36AC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211C4644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893C0B" w:rsidRPr="006168DD" w14:paraId="1BBCCCFC" w14:textId="77777777" w:rsidTr="00AA36AC">
        <w:tc>
          <w:tcPr>
            <w:tcW w:w="1701" w:type="dxa"/>
            <w:vMerge/>
          </w:tcPr>
          <w:p w14:paraId="75C38AD7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247B9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77767A84" w14:textId="2B72153A" w:rsidR="00893C0B" w:rsidRPr="00286C23" w:rsidRDefault="00893C0B" w:rsidP="00547C42">
            <w:r w:rsidRPr="00286C23">
              <w:t>Интерференция. Дифракция. Явление дисперсии. Поляризац</w:t>
            </w:r>
            <w:r>
              <w:t>ия света. И</w:t>
            </w:r>
            <w:r w:rsidRPr="00286C23">
              <w:rPr>
                <w:lang w:eastAsia="en-US"/>
              </w:rPr>
              <w:t>злучения абсолютно черного тела.</w:t>
            </w:r>
          </w:p>
        </w:tc>
        <w:tc>
          <w:tcPr>
            <w:tcW w:w="815" w:type="dxa"/>
          </w:tcPr>
          <w:p w14:paraId="174712E4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AC6EE6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273EA1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A6E7E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8DC6F7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F16E0DA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3C0B" w:rsidRPr="006168DD" w14:paraId="0544C4AF" w14:textId="77777777" w:rsidTr="00AA36AC">
        <w:tc>
          <w:tcPr>
            <w:tcW w:w="1701" w:type="dxa"/>
            <w:vMerge/>
          </w:tcPr>
          <w:p w14:paraId="6BECEC3B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8FE6A9" w14:textId="77777777" w:rsidR="00893C0B" w:rsidRPr="00286C23" w:rsidRDefault="00893C0B" w:rsidP="007B7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6A1D5319" w14:textId="4990A966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0209C7B8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F84F5" w14:textId="4DBF9D3F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C7DCD" w14:textId="4B006901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D3074E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CBE90A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B81D31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3C0B" w:rsidRPr="006168DD" w14:paraId="7919E766" w14:textId="77777777" w:rsidTr="00AA36AC">
        <w:tc>
          <w:tcPr>
            <w:tcW w:w="1701" w:type="dxa"/>
            <w:vMerge/>
          </w:tcPr>
          <w:p w14:paraId="3A3A25FF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A14DC" w14:textId="77777777" w:rsidR="00893C0B" w:rsidRPr="00286C23" w:rsidRDefault="00893C0B" w:rsidP="007B7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FB965DD" w14:textId="718F27D1" w:rsidR="00893C0B" w:rsidRPr="00286C23" w:rsidRDefault="00893C0B" w:rsidP="00557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1685B63D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D0BAB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559DD" w14:textId="7E0449B3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9755CB5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727B67" w14:textId="77777777" w:rsidR="00893C0B" w:rsidRPr="00BC754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F4C441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3C0B" w:rsidRPr="006168DD" w14:paraId="708A8ACB" w14:textId="77777777" w:rsidTr="00AA36AC">
        <w:tc>
          <w:tcPr>
            <w:tcW w:w="1701" w:type="dxa"/>
            <w:vMerge w:val="restart"/>
          </w:tcPr>
          <w:p w14:paraId="4FB347A3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BD015A7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8DB6E8C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452CEA9E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67318F9B" w14:textId="4D7313F5" w:rsidR="00893C0B" w:rsidRPr="00325210" w:rsidRDefault="00893C0B" w:rsidP="00547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F0FD6" w14:textId="48263431" w:rsidR="00893C0B" w:rsidRPr="0032521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F7F7A" w14:textId="77777777" w:rsidR="00893C0B" w:rsidRPr="0032521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1EFA332E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8A269A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1F7D94E" w14:textId="77777777" w:rsidR="00893C0B" w:rsidRPr="003A3CAB" w:rsidRDefault="00893C0B" w:rsidP="00AA36AC">
            <w:r w:rsidRPr="003A3CAB">
              <w:t xml:space="preserve">Формы текущего контроля </w:t>
            </w:r>
          </w:p>
          <w:p w14:paraId="4C586CD0" w14:textId="77777777" w:rsidR="00893C0B" w:rsidRPr="003A3CAB" w:rsidRDefault="00893C0B" w:rsidP="00AA36AC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F20A82D" w14:textId="77777777" w:rsidR="00893C0B" w:rsidRDefault="00893C0B" w:rsidP="00AA36AC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2E0AE46" w14:textId="77777777" w:rsidR="00893C0B" w:rsidRPr="00D11F1C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893C0B" w:rsidRPr="006168DD" w14:paraId="484627E2" w14:textId="77777777" w:rsidTr="00AA36AC">
        <w:tc>
          <w:tcPr>
            <w:tcW w:w="1701" w:type="dxa"/>
            <w:vMerge/>
          </w:tcPr>
          <w:p w14:paraId="0DFB8602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C2BD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64B6F22" w14:textId="77777777" w:rsidR="00893C0B" w:rsidRPr="00286C23" w:rsidRDefault="00893C0B" w:rsidP="00AA36A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16F30DBF" w14:textId="52D17299" w:rsidR="00893C0B" w:rsidRPr="00325210" w:rsidRDefault="00893C0B" w:rsidP="00547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5631A2D" w14:textId="77777777" w:rsidR="00893C0B" w:rsidRPr="0032521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FF641" w14:textId="77777777" w:rsidR="00893C0B" w:rsidRPr="0032521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C70783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77F5A5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4179899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3C0B" w:rsidRPr="006168DD" w14:paraId="129CCBE9" w14:textId="77777777" w:rsidTr="00AA36AC">
        <w:tc>
          <w:tcPr>
            <w:tcW w:w="1701" w:type="dxa"/>
            <w:vMerge/>
          </w:tcPr>
          <w:p w14:paraId="7C829C7D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A70E7" w14:textId="67AA90EC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</w:t>
            </w:r>
            <w:r>
              <w:t>1</w:t>
            </w:r>
          </w:p>
          <w:p w14:paraId="408A33BF" w14:textId="77777777" w:rsidR="00893C0B" w:rsidRPr="00286C23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10EFFA76" w14:textId="77777777" w:rsidR="00893C0B" w:rsidRPr="00325210" w:rsidRDefault="00893C0B" w:rsidP="00547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82CB3" w14:textId="77777777" w:rsidR="00893C0B" w:rsidRPr="0032521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87B2D4" w14:textId="77777777" w:rsidR="00893C0B" w:rsidRPr="0032521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E46D1F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3B0CB7" w14:textId="77777777" w:rsidR="00893C0B" w:rsidRPr="006352C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B">
              <w:t>х</w:t>
            </w:r>
          </w:p>
        </w:tc>
        <w:tc>
          <w:tcPr>
            <w:tcW w:w="4002" w:type="dxa"/>
            <w:vMerge/>
          </w:tcPr>
          <w:p w14:paraId="666382C6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3C0B" w:rsidRPr="006168DD" w14:paraId="75D354E1" w14:textId="77777777" w:rsidTr="00AA36AC">
        <w:tc>
          <w:tcPr>
            <w:tcW w:w="1701" w:type="dxa"/>
          </w:tcPr>
          <w:p w14:paraId="2447654A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91D6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0AB8A34D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D6B4E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EA813A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6C6B81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65211C" w14:textId="77777777" w:rsidR="00893C0B" w:rsidRPr="00325210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B40291" w14:textId="77777777" w:rsidR="00893C0B" w:rsidRPr="0017422A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893C0B" w:rsidRPr="006168DD" w14:paraId="06A09C77" w14:textId="77777777" w:rsidTr="00AA36AC">
        <w:tc>
          <w:tcPr>
            <w:tcW w:w="1701" w:type="dxa"/>
          </w:tcPr>
          <w:p w14:paraId="476C44A2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1CF4C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7CA6549" w14:textId="5B942A5C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A9C70B7" w14:textId="5E29FC43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E9D1C76" w14:textId="4D6A01EA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3C5997A2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1B079A" w14:textId="6088B5AD" w:rsidR="00893C0B" w:rsidRPr="0082666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2BFF9269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3C0B" w:rsidRPr="006168DD" w14:paraId="2D038861" w14:textId="77777777" w:rsidTr="00AA36AC">
        <w:tc>
          <w:tcPr>
            <w:tcW w:w="1701" w:type="dxa"/>
          </w:tcPr>
          <w:p w14:paraId="5A9F3E4C" w14:textId="77777777" w:rsidR="00893C0B" w:rsidRPr="001A0052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C4E0" w14:textId="77777777" w:rsidR="00893C0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FE81FF" w14:textId="7259B7C1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FCDC518" w14:textId="76EB6B22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0ED8B2" w14:textId="226B50B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289C2099" w14:textId="77777777" w:rsidR="00893C0B" w:rsidRPr="001C1B2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B51B2" w14:textId="5E9F30F1" w:rsidR="00893C0B" w:rsidRPr="0082666B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4999D169" w14:textId="77777777" w:rsidR="00893C0B" w:rsidRPr="00DF3C1E" w:rsidRDefault="00893C0B" w:rsidP="00AA3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357D90C" w14:textId="77777777" w:rsidR="00B118F4" w:rsidRDefault="00B118F4" w:rsidP="00B118F4"/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4D745E1" w:rsidR="00D77132" w:rsidRPr="002C41C7" w:rsidRDefault="00893C0B" w:rsidP="00893C0B">
            <w:pPr>
              <w:rPr>
                <w:i/>
              </w:rPr>
            </w:pPr>
            <w:r>
              <w:t>Кинематика.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C1DC626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893C0B">
              <w:t xml:space="preserve">. </w:t>
            </w:r>
            <w:r w:rsidR="00893C0B" w:rsidRPr="00286C23">
              <w:t>Скорость при криволинейном движении.</w:t>
            </w:r>
            <w:r w:rsidR="00893C0B">
              <w:t xml:space="preserve"> Ускорение</w:t>
            </w:r>
            <w:r w:rsidR="00893C0B" w:rsidRPr="00286C23">
              <w:t xml:space="preserve"> при криволинейном движении.</w:t>
            </w:r>
            <w:r w:rsidR="00893C0B">
              <w:t xml:space="preserve"> Равномерное движение по окружности. Центростремительное ускорение. Нормальное ускорение. Тангенциальное ускорение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4AA504B" w:rsidR="00D77132" w:rsidRPr="002C41C7" w:rsidRDefault="00893C0B" w:rsidP="00893C0B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8FAA57C" w:rsidR="00D77132" w:rsidRPr="00532A00" w:rsidRDefault="00DD3510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</w:t>
            </w:r>
            <w:proofErr w:type="gramStart"/>
            <w:r>
              <w:t>абсолютно упругих</w:t>
            </w:r>
            <w:proofErr w:type="gramEnd"/>
            <w:r>
              <w:t xml:space="preserve"> и неупругих тел. </w:t>
            </w:r>
            <w:r w:rsidRPr="0015651D">
              <w:t>Работа сил поля. Потенциальная энергия. Потенциал. Поле тяготения.</w:t>
            </w:r>
            <w:r>
              <w:t xml:space="preserve"> </w:t>
            </w: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</w:t>
            </w:r>
            <w:proofErr w:type="gramStart"/>
            <w:r>
              <w:t>абсолютно упругих</w:t>
            </w:r>
            <w:proofErr w:type="gramEnd"/>
            <w:r>
              <w:t xml:space="preserve"> и неупругих тел. </w:t>
            </w:r>
            <w:r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D86B3D8" w:rsidR="0015651D" w:rsidRPr="00E82E96" w:rsidRDefault="00DD3510" w:rsidP="00D87B73">
            <w:pPr>
              <w:rPr>
                <w:bCs/>
              </w:rPr>
            </w:pPr>
            <w:r w:rsidRPr="00286C23">
              <w:t xml:space="preserve">Основное уравнение кинетической теории газов. </w:t>
            </w:r>
            <w:r>
              <w:t>Начала термодинамики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856403" w:rsidR="0015651D" w:rsidRPr="00E82E96" w:rsidRDefault="00557105" w:rsidP="000566A1">
            <w:pPr>
              <w:rPr>
                <w:bCs/>
              </w:rPr>
            </w:pPr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 xml:space="preserve">Опытное обоснование молекулярно-кинетической теории. </w:t>
            </w:r>
            <w:r w:rsidR="000566A1">
              <w:t xml:space="preserve">Исходные положения молекулярно-кинетической теории газов. </w:t>
            </w:r>
            <w:r w:rsidR="00AD78A1" w:rsidRPr="00286C23">
              <w:t>Основное уравнение кинетической теории газов.</w:t>
            </w:r>
            <w:r w:rsidR="00AD78A1">
              <w:t xml:space="preserve"> 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CFE4" w14:textId="77777777" w:rsidR="0015651D" w:rsidRDefault="0015651D" w:rsidP="00741806">
            <w:r>
              <w:t>Тема 2.4</w:t>
            </w:r>
          </w:p>
          <w:p w14:paraId="4497788B" w14:textId="44574AC6" w:rsidR="0015651D" w:rsidRPr="00286C23" w:rsidRDefault="0015651D" w:rsidP="00F60511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5C2FC813" w:rsidR="0015651D" w:rsidRPr="00E630B6" w:rsidRDefault="0015651D" w:rsidP="00F60511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  <w:r w:rsidR="00DD3510">
              <w:t xml:space="preserve"> </w:t>
            </w:r>
            <w:proofErr w:type="spellStart"/>
            <w:r w:rsidR="00DD3510" w:rsidRPr="00E630B6">
              <w:t>Изопроцессы</w:t>
            </w:r>
            <w:proofErr w:type="spellEnd"/>
            <w:r w:rsidR="00DD3510" w:rsidRPr="00E630B6">
              <w:t>.</w:t>
            </w:r>
            <w:r w:rsidR="00DD3510">
              <w:t xml:space="preserve"> Изохорный процесс. Изобарный процесс. Изотермический процесс. Адиабатический процесс. Энтропия. Политропный процесс.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566A1" w:rsidRPr="00286C23" w:rsidRDefault="0015651D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15651D" w:rsidRDefault="0015651D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15651D" w:rsidRPr="00E82E96" w:rsidRDefault="0015651D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28F0EDBA" w:rsidR="0015651D" w:rsidRDefault="00DD3510" w:rsidP="00F06E05">
            <w:pPr>
              <w:rPr>
                <w:bCs/>
              </w:rPr>
            </w:pPr>
            <w:r>
              <w:rPr>
                <w:bCs/>
              </w:rPr>
              <w:t>Постоянный электрический ток.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685EF381" w:rsidR="0015651D" w:rsidRPr="00E82E96" w:rsidRDefault="00DD3510" w:rsidP="00DD3510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 xml:space="preserve">Правила </w:t>
            </w:r>
            <w:r w:rsidRPr="00286C23">
              <w:lastRenderedPageBreak/>
              <w:t>Кирхгофа.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15651D" w:rsidRDefault="0015651D" w:rsidP="00F06E05">
            <w:r w:rsidRPr="00286C23">
              <w:rPr>
                <w:b/>
              </w:rPr>
              <w:t>Электромагнетизм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549C7051" w:rsidR="009F5E1F" w:rsidRDefault="009F5E1F" w:rsidP="00887035">
            <w:pPr>
              <w:rPr>
                <w:bCs/>
              </w:rPr>
            </w:pPr>
            <w:r w:rsidRPr="00286C23">
              <w:t>Магнитное поле</w:t>
            </w:r>
            <w:r w:rsidR="00DD3510">
              <w:t>. Индукция.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50227C81" w:rsidR="009F5E1F" w:rsidRPr="00E82E96" w:rsidRDefault="009F5E1F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  <w:r w:rsidR="00DD3510">
              <w:t xml:space="preserve"> </w:t>
            </w:r>
            <w:r w:rsidR="00DD3510" w:rsidRPr="00286C23">
              <w:rPr>
                <w:lang w:eastAsia="en-US"/>
              </w:rPr>
              <w:t>Явление электромагнитной индукции</w:t>
            </w:r>
            <w:r w:rsidR="00DD3510">
              <w:rPr>
                <w:lang w:eastAsia="en-US"/>
              </w:rPr>
              <w:t xml:space="preserve"> (опыты Фарадея)</w:t>
            </w:r>
            <w:r w:rsidR="00DD3510" w:rsidRPr="00286C23">
              <w:rPr>
                <w:lang w:eastAsia="en-US"/>
              </w:rPr>
              <w:t>.</w:t>
            </w:r>
            <w:r w:rsidR="00DD3510"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9F5E1F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9F5E1F" w:rsidRDefault="009F5E1F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CB02D0" w:rsidRDefault="009F5E1F" w:rsidP="00CB02D0">
            <w:r w:rsidRPr="00286C23">
              <w:rPr>
                <w:b/>
              </w:rPr>
              <w:t>Колебания и волны</w:t>
            </w:r>
          </w:p>
        </w:tc>
      </w:tr>
      <w:tr w:rsidR="00CB02D0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CB02D0" w:rsidRPr="000C7B74" w:rsidRDefault="00CB02D0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5AA72525" w:rsidR="00CB02D0" w:rsidRPr="002B2FC0" w:rsidRDefault="00DD3510" w:rsidP="00DD3510">
            <w:pPr>
              <w:rPr>
                <w:bCs/>
              </w:rPr>
            </w:pPr>
            <w:r w:rsidRPr="00286C23">
              <w:t xml:space="preserve">Основные параметры колебаний. Математический, упругий, физический маятники. Незатухающие, затухающие и вынужденные колебания. Резонанс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2065B4AF" w:rsidR="00CB02D0" w:rsidRPr="002B2FC0" w:rsidRDefault="00CB02D0" w:rsidP="00DD351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  <w:r w:rsidR="00DD3510">
              <w:rPr>
                <w:lang w:eastAsia="en-US"/>
              </w:rPr>
              <w:t xml:space="preserve"> </w:t>
            </w:r>
            <w:r w:rsidR="00DD3510"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</w:tc>
      </w:tr>
      <w:tr w:rsidR="009F5E1F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9F5E1F" w:rsidRDefault="009F5E1F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9F5E1F" w:rsidRDefault="009F5E1F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9F5E1F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9F5E1F" w:rsidRPr="00024176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5E030F47" w:rsidR="009F5E1F" w:rsidRDefault="00DD3510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</w:t>
            </w:r>
            <w:r>
              <w:t>ия света. И</w:t>
            </w:r>
            <w:r w:rsidRPr="00286C23">
              <w:rPr>
                <w:lang w:eastAsia="en-US"/>
              </w:rPr>
              <w:t>злучения абсолютно черного тела.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9F5E1F" w:rsidRPr="002B2FC0" w:rsidRDefault="009F5E1F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9F5E1F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9F5E1F" w:rsidRPr="00286C23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9F5E1F" w:rsidRDefault="009F5E1F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9F5E1F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9F5E1F" w:rsidRPr="00024176" w:rsidRDefault="009F5E1F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9F5E1F" w:rsidRDefault="009F5E1F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9F5E1F" w:rsidRPr="002B2FC0" w:rsidRDefault="009F5E1F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7FDF3904" w:rsidR="006352CB" w:rsidRPr="0004716C" w:rsidRDefault="006352CB" w:rsidP="00B36FDD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CF86EDE" w:rsidR="00060CCA" w:rsidRPr="005749A5" w:rsidRDefault="00CE4499" w:rsidP="00CE4499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6FFABE10" w:rsidR="00060CCA" w:rsidRPr="005749A5" w:rsidRDefault="00CE4499" w:rsidP="00CE4499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6140A585" w:rsidR="00060CCA" w:rsidRPr="005749A5" w:rsidRDefault="00CE4499" w:rsidP="00CE4499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 w:rsidR="0082666B">
              <w:rPr>
                <w:lang w:val="ru-RU"/>
              </w:rPr>
              <w:t>а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5C8E7C3A" w:rsidR="00060CCA" w:rsidRPr="00CE4499" w:rsidRDefault="00CE4499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0 - 4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573D8E75" w:rsidR="00D54962" w:rsidRPr="00552081" w:rsidRDefault="00D54962" w:rsidP="0034257F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34257F">
              <w:rPr>
                <w:bCs/>
              </w:rPr>
              <w:t>2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lastRenderedPageBreak/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 xml:space="preserve">Состав: панель для изучения работы триода в </w:t>
            </w:r>
            <w:r w:rsidRPr="00BC24F6">
              <w:lastRenderedPageBreak/>
              <w:t>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lastRenderedPageBreak/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>Состав: микроскоп, стеклянная пластинка с нанесенными на нее штрихами, источник света, 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lastRenderedPageBreak/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531CFA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531CFA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531CFA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531CFA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531CFA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A1091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30E5E" w14:textId="77777777" w:rsidR="00531CFA" w:rsidRDefault="00531CFA" w:rsidP="005E3840">
      <w:r>
        <w:separator/>
      </w:r>
    </w:p>
  </w:endnote>
  <w:endnote w:type="continuationSeparator" w:id="0">
    <w:p w14:paraId="2BEC2E44" w14:textId="77777777" w:rsidR="00531CFA" w:rsidRDefault="00531C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A36AC" w:rsidRDefault="00AA36AC">
    <w:pPr>
      <w:pStyle w:val="ae"/>
      <w:jc w:val="right"/>
    </w:pPr>
  </w:p>
  <w:p w14:paraId="3A88830B" w14:textId="77777777" w:rsidR="00AA36AC" w:rsidRDefault="00AA36A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A36AC" w:rsidRDefault="00AA36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A36AC" w:rsidRDefault="00AA36A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A36AC" w:rsidRDefault="00AA36AC">
    <w:pPr>
      <w:pStyle w:val="ae"/>
      <w:jc w:val="right"/>
    </w:pPr>
  </w:p>
  <w:p w14:paraId="6C2BFEFB" w14:textId="77777777" w:rsidR="00AA36AC" w:rsidRDefault="00AA36A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A36AC" w:rsidRDefault="00AA36AC">
    <w:pPr>
      <w:pStyle w:val="ae"/>
      <w:jc w:val="right"/>
    </w:pPr>
  </w:p>
  <w:p w14:paraId="1B400B45" w14:textId="77777777" w:rsidR="00AA36AC" w:rsidRDefault="00AA36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FE801" w14:textId="77777777" w:rsidR="00531CFA" w:rsidRDefault="00531CFA" w:rsidP="005E3840">
      <w:r>
        <w:separator/>
      </w:r>
    </w:p>
  </w:footnote>
  <w:footnote w:type="continuationSeparator" w:id="0">
    <w:p w14:paraId="5C3FD423" w14:textId="77777777" w:rsidR="00531CFA" w:rsidRDefault="00531C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AA36AC" w:rsidRDefault="00AA36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91">
          <w:rPr>
            <w:noProof/>
          </w:rPr>
          <w:t>2</w:t>
        </w:r>
        <w:r>
          <w:fldChar w:fldCharType="end"/>
        </w:r>
      </w:p>
    </w:sdtContent>
  </w:sdt>
  <w:p w14:paraId="6FA080AE" w14:textId="77777777" w:rsidR="00AA36AC" w:rsidRDefault="00AA36A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AA36AC" w:rsidRDefault="00531CFA">
        <w:pPr>
          <w:pStyle w:val="ac"/>
          <w:jc w:val="center"/>
        </w:pPr>
      </w:p>
    </w:sdtContent>
  </w:sdt>
  <w:p w14:paraId="61E6F58B" w14:textId="77777777" w:rsidR="00AA36AC" w:rsidRDefault="00AA36A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A36AC" w:rsidRDefault="00AA36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91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A36AC" w:rsidRDefault="00AA36A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A36AC" w:rsidRDefault="00AA36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91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AA36AC" w:rsidRDefault="00AA36A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A36AC" w:rsidRDefault="00AA36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91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AA36AC" w:rsidRDefault="00AA36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A4F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2F1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0807"/>
    <w:rsid w:val="0034257F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091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CFA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2D6C"/>
    <w:rsid w:val="00544315"/>
    <w:rsid w:val="00544DA0"/>
    <w:rsid w:val="00545406"/>
    <w:rsid w:val="005459AF"/>
    <w:rsid w:val="005467DA"/>
    <w:rsid w:val="00546AF2"/>
    <w:rsid w:val="005475ED"/>
    <w:rsid w:val="0054770D"/>
    <w:rsid w:val="00547C42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5F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2F4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3C0B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01F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6AC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6B7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499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152E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510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EDBB-BBD1-4E71-B6C9-02F00012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6</cp:revision>
  <cp:lastPrinted>2022-01-14T08:45:00Z</cp:lastPrinted>
  <dcterms:created xsi:type="dcterms:W3CDTF">2022-01-22T19:24:00Z</dcterms:created>
  <dcterms:modified xsi:type="dcterms:W3CDTF">2022-01-25T17:23:00Z</dcterms:modified>
</cp:coreProperties>
</file>