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13520" w:rsidRPr="00313520" w:rsidRDefault="008010E8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Проектная работа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</w:t>
            </w:r>
            <w:r w:rsidR="00313520"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13520" w:rsidRPr="00313520" w:rsidRDefault="006461CC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Срок освоения образовательной программы по </w:t>
            </w:r>
            <w:r w:rsidR="005476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13520" w:rsidRPr="00313520" w:rsidRDefault="00547672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13520" w:rsidRPr="00313520" w:rsidRDefault="00547672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</w:t>
            </w:r>
            <w:r w:rsidR="00917C69"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чная</w:t>
            </w:r>
          </w:p>
        </w:tc>
      </w:tr>
    </w:tbl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:rsidTr="00D760AB">
        <w:trPr>
          <w:trHeight w:val="964"/>
        </w:trPr>
        <w:tc>
          <w:tcPr>
            <w:tcW w:w="9822" w:type="dxa"/>
            <w:gridSpan w:val="4"/>
          </w:tcPr>
          <w:p w:rsidR="00313520" w:rsidRPr="00313520" w:rsidRDefault="00313520" w:rsidP="003135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80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:rsidTr="00D760AB">
        <w:trPr>
          <w:trHeight w:val="283"/>
        </w:trPr>
        <w:tc>
          <w:tcPr>
            <w:tcW w:w="381" w:type="dxa"/>
            <w:vAlign w:val="center"/>
          </w:tcPr>
          <w:p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3520" w:rsidRPr="00313520" w:rsidRDefault="00917C69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</w:tr>
      <w:tr w:rsidR="00313520" w:rsidRPr="00313520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Pr="00313520" w:rsidRDefault="008010E8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2021</w:t>
      </w:r>
      <w:r w:rsidR="008143F9"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D05EF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третьем</w:t>
      </w:r>
      <w:r w:rsidR="006461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CE0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четвертом, </w:t>
      </w:r>
      <w:r w:rsidR="006461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шестом</w:t>
      </w:r>
      <w:r w:rsidR="00CC66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7809C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E0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седьмом</w:t>
      </w:r>
      <w:r w:rsidR="00CC66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восьмом</w:t>
      </w:r>
      <w:r w:rsidR="00CE0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семестр</w:t>
      </w:r>
      <w:r w:rsidR="006461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313520" w:rsidRPr="00313520" w:rsidRDefault="00D05EF0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  <w:r w:rsidR="00A04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оценкой</w:t>
      </w:r>
    </w:p>
    <w:p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313520" w:rsidRPr="006461CC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обучения по учебной дисциплине используются при изучении следующих 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 и прохождения практик:</w:t>
      </w:r>
    </w:p>
    <w:p w:rsidR="006461CC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 xml:space="preserve">Социальное конструирование в цифровой </w:t>
      </w:r>
      <w:proofErr w:type="spellStart"/>
      <w:r w:rsidRPr="006461CC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Организационное поведение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Default="006461CC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Управление цифровыми проектами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E677B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Основы проектного управления при проведении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461CC">
        <w:rPr>
          <w:rFonts w:ascii="Times New Roman" w:hAnsi="Times New Roman" w:cs="Times New Roman"/>
          <w:sz w:val="24"/>
          <w:szCs w:val="24"/>
        </w:rPr>
        <w:t>социологического исследования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540"/>
      </w:tblGrid>
      <w:tr w:rsidR="00D05EF0" w:rsidRPr="003548D8" w:rsidTr="004F3F6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455BB" w:rsidRPr="003548D8" w:rsidTr="004F3F68">
        <w:trPr>
          <w:trHeight w:val="9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7455BB" w:rsidRPr="003548D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ИД-УК-2.1</w:t>
            </w:r>
          </w:p>
          <w:p w:rsidR="007455BB" w:rsidRPr="003548D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задач в рамках поставленной цели, определение связи между ними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7455BB" w:rsidRPr="003548D8" w:rsidTr="004F3F68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7455BB" w:rsidRPr="003548D8" w:rsidTr="004F3F68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7455BB" w:rsidRPr="003548D8" w:rsidTr="004F3F68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</w:tc>
      </w:tr>
      <w:tr w:rsidR="007455BB" w:rsidRPr="003548D8" w:rsidTr="004F3F68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</w:tr>
      <w:tr w:rsidR="007455BB" w:rsidRPr="003548D8" w:rsidTr="000E3B19">
        <w:trPr>
          <w:trHeight w:val="146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подготовить проектное предложение для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социологического исследования</w:t>
            </w:r>
          </w:p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ИД-ПК-2.1</w:t>
            </w:r>
          </w:p>
          <w:p w:rsidR="007455BB" w:rsidRPr="003548D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3548D8" w:rsidRDefault="007455BB" w:rsidP="007455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7455BB" w:rsidRPr="003548D8" w:rsidTr="004F3F68">
        <w:trPr>
          <w:trHeight w:val="196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7455BB" w:rsidRPr="003548D8" w:rsidTr="004F3F68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4873C9" w:rsidRPr="00B05FA8" w:rsidRDefault="004873C9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313520" w:rsidRPr="000E677B" w:rsidRDefault="00313520" w:rsidP="000E3B19">
      <w:pPr>
        <w:pStyle w:val="af0"/>
        <w:keepNext/>
        <w:numPr>
          <w:ilvl w:val="0"/>
          <w:numId w:val="26"/>
        </w:numPr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13520" w:rsidRPr="00073CB0" w:rsidRDefault="00313520" w:rsidP="000E3B19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073CB0" w:rsidRPr="00073CB0" w:rsidRDefault="00073CB0" w:rsidP="000E3B19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073CB0" w:rsidRPr="00D64340" w:rsidTr="00753F78">
        <w:trPr>
          <w:trHeight w:val="340"/>
        </w:trPr>
        <w:tc>
          <w:tcPr>
            <w:tcW w:w="4933" w:type="dxa"/>
            <w:vAlign w:val="center"/>
          </w:tcPr>
          <w:p w:rsidR="00073CB0" w:rsidRPr="00D64340" w:rsidRDefault="00073CB0" w:rsidP="000E3B19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073CB0" w:rsidRPr="00D64340" w:rsidRDefault="00073CB0" w:rsidP="000E3B1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73CB0" w:rsidRPr="00D64340" w:rsidRDefault="00073CB0" w:rsidP="000E3B1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73CB0" w:rsidRPr="00D64340" w:rsidRDefault="00073CB0" w:rsidP="000E3B1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417" w:type="dxa"/>
            <w:vAlign w:val="center"/>
          </w:tcPr>
          <w:p w:rsidR="00073CB0" w:rsidRPr="00D64340" w:rsidRDefault="00073CB0" w:rsidP="000E3B1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3520" w:rsidRPr="00313520" w:rsidRDefault="00313520" w:rsidP="000E3B19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Default="000652D2" w:rsidP="000E3B19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p w:rsidR="007809C3" w:rsidRDefault="007809C3" w:rsidP="000E3B19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547672" w:rsidRPr="00313520" w:rsidTr="00D760AB">
        <w:trPr>
          <w:cantSplit/>
          <w:trHeight w:val="227"/>
        </w:trPr>
        <w:tc>
          <w:tcPr>
            <w:tcW w:w="1943" w:type="dxa"/>
          </w:tcPr>
          <w:p w:rsidR="00547672" w:rsidRDefault="00547672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547672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547672" w:rsidRDefault="00547672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547672" w:rsidRPr="00313520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47672" w:rsidRPr="00313520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547672" w:rsidRPr="00313520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0024B" w:rsidRPr="00313520" w:rsidTr="00D760AB">
        <w:trPr>
          <w:cantSplit/>
          <w:trHeight w:val="227"/>
        </w:trPr>
        <w:tc>
          <w:tcPr>
            <w:tcW w:w="1943" w:type="dxa"/>
          </w:tcPr>
          <w:p w:rsidR="0050024B" w:rsidRDefault="006462E6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50024B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50024B" w:rsidRDefault="00547672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Default="0054767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672" w:rsidRPr="00313520" w:rsidTr="00D760AB">
        <w:trPr>
          <w:cantSplit/>
          <w:trHeight w:val="227"/>
        </w:trPr>
        <w:tc>
          <w:tcPr>
            <w:tcW w:w="1943" w:type="dxa"/>
          </w:tcPr>
          <w:p w:rsidR="00547672" w:rsidRDefault="00547672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семестр</w:t>
            </w:r>
          </w:p>
        </w:tc>
        <w:tc>
          <w:tcPr>
            <w:tcW w:w="1130" w:type="dxa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672" w:rsidRPr="00313520" w:rsidTr="00D760AB">
        <w:trPr>
          <w:cantSplit/>
          <w:trHeight w:val="227"/>
        </w:trPr>
        <w:tc>
          <w:tcPr>
            <w:tcW w:w="1943" w:type="dxa"/>
          </w:tcPr>
          <w:p w:rsidR="00547672" w:rsidRDefault="00547672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592" w:rsidRPr="00313520" w:rsidTr="00D760AB">
        <w:trPr>
          <w:cantSplit/>
          <w:trHeight w:val="227"/>
        </w:trPr>
        <w:tc>
          <w:tcPr>
            <w:tcW w:w="1943" w:type="dxa"/>
          </w:tcPr>
          <w:p w:rsidR="00106592" w:rsidRDefault="00106592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106592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592" w:rsidRPr="00313520" w:rsidTr="00D760AB">
        <w:trPr>
          <w:cantSplit/>
          <w:trHeight w:val="227"/>
        </w:trPr>
        <w:tc>
          <w:tcPr>
            <w:tcW w:w="1943" w:type="dxa"/>
          </w:tcPr>
          <w:p w:rsidR="00106592" w:rsidRPr="00313520" w:rsidRDefault="00106592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106592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592" w:rsidRPr="00313520" w:rsidTr="00D760AB">
        <w:trPr>
          <w:cantSplit/>
          <w:trHeight w:val="227"/>
        </w:trPr>
        <w:tc>
          <w:tcPr>
            <w:tcW w:w="1943" w:type="dxa"/>
          </w:tcPr>
          <w:p w:rsidR="00106592" w:rsidRPr="00313520" w:rsidRDefault="00106592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семестр</w:t>
            </w:r>
          </w:p>
        </w:tc>
        <w:tc>
          <w:tcPr>
            <w:tcW w:w="1130" w:type="dxa"/>
          </w:tcPr>
          <w:p w:rsidR="00106592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10659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672" w:rsidRPr="00313520" w:rsidTr="00D760AB">
        <w:trPr>
          <w:cantSplit/>
          <w:trHeight w:val="227"/>
        </w:trPr>
        <w:tc>
          <w:tcPr>
            <w:tcW w:w="1943" w:type="dxa"/>
          </w:tcPr>
          <w:p w:rsidR="00547672" w:rsidRPr="00313520" w:rsidRDefault="00CC660B" w:rsidP="0054767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 семестр</w:t>
            </w:r>
          </w:p>
        </w:tc>
        <w:tc>
          <w:tcPr>
            <w:tcW w:w="1130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зачет с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33" w:type="dxa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672" w:rsidRPr="00313520" w:rsidTr="00D760AB">
        <w:trPr>
          <w:cantSplit/>
          <w:trHeight w:val="227"/>
        </w:trPr>
        <w:tc>
          <w:tcPr>
            <w:tcW w:w="1943" w:type="dxa"/>
          </w:tcPr>
          <w:p w:rsidR="00547672" w:rsidRPr="00313520" w:rsidRDefault="00547672" w:rsidP="00547672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</w:t>
            </w:r>
          </w:p>
        </w:tc>
        <w:tc>
          <w:tcPr>
            <w:tcW w:w="834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47672" w:rsidRPr="00313520" w:rsidRDefault="0010659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</w:tcPr>
          <w:p w:rsidR="00547672" w:rsidRPr="00313520" w:rsidRDefault="00547672" w:rsidP="00547672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13520" w:rsidRPr="000E3B19" w:rsidRDefault="00313520" w:rsidP="000E3B1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0E3B19" w:rsidSect="00D760A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13520" w:rsidRPr="00313520" w:rsidRDefault="0016397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50024B">
              <w:rPr>
                <w:rFonts w:ascii="Times New Roman" w:eastAsiaTheme="minorEastAsia" w:hAnsi="Times New Roman" w:cs="Times New Roman"/>
                <w:b/>
                <w:lang w:eastAsia="ru-RU"/>
              </w:rPr>
              <w:t>, пятый и шестой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vMerge w:val="restart"/>
          </w:tcPr>
          <w:p w:rsidR="002B4CCA" w:rsidRP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852143" w:rsidRPr="003548D8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852143" w:rsidRPr="003548D8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852143" w:rsidRPr="003548D8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852143" w:rsidRP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13520" w:rsidRPr="00313520" w:rsidRDefault="00D256D2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 w:rsidR="00826721"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13520" w:rsidRPr="00313520" w:rsidRDefault="001676DF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="00D256D2"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FA31D6" w:rsidRPr="00852143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ИД-ПК-2.3</w:t>
            </w:r>
          </w:p>
          <w:p w:rsidR="00313520" w:rsidRPr="00313520" w:rsidRDefault="00313520" w:rsidP="00852143">
            <w:pPr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:rsidR="0034229B" w:rsidRPr="00313520" w:rsidRDefault="00A712B4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A10F6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34229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13520" w:rsidRPr="00313520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FA31D6" w:rsidRPr="00852143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="0034229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A10F6" w:rsidRPr="003A10F6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A4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313520" w:rsidRPr="00313520" w:rsidRDefault="00B17AF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712B4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3.1. </w:t>
            </w:r>
          </w:p>
          <w:p w:rsidR="003A47EE" w:rsidRDefault="00E45DD0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712B4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3.2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3A47EE" w:rsidRDefault="00E45DD0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712B4" w:rsidRDefault="003A47E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3A47EE" w:rsidRDefault="003A47E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 w:val="restart"/>
          </w:tcPr>
          <w:p w:rsidR="00FA31D6" w:rsidRPr="00852143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ИД-УК-2.4</w:t>
            </w:r>
          </w:p>
          <w:p w:rsidR="00FA31D6" w:rsidRPr="00852143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FA31D6" w:rsidRDefault="00FA31D6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FA31D6" w:rsidRPr="003548D8" w:rsidRDefault="00FA31D6" w:rsidP="00FA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IY.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социологического исследования в рекламе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4.1. Опросные методы 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группового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4A63E5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Зачеты,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FA31D6">
              <w:rPr>
                <w:rFonts w:ascii="Times New Roman" w:eastAsiaTheme="minorEastAsia" w:hAnsi="Times New Roman" w:cs="Times New Roman"/>
                <w:lang w:eastAsia="ru-RU"/>
              </w:rPr>
              <w:t xml:space="preserve"> с оценкой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E238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</w:tcPr>
          <w:p w:rsidR="003A47EE" w:rsidRPr="00313520" w:rsidRDefault="003A47EE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2B4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4A63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4A63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E238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E238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262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211B99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знания. Отличие социологического знания от общетеоретического, применяемого в естественных науках. 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Понятие методики, техники, процедур, применяемых в социологических исследованиях. Разнообразие методик, используемых для сбора и обработки социальной информации. Отличие методик, применяемых в социологии, от методик, используемых в других видах социальных исследований.</w:t>
            </w:r>
            <w:r>
              <w:t xml:space="preserve"> </w:t>
            </w: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Комплексные исследования и специфика их методической базы.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формулировке гипотез социологического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Функции гипотез в социологическом исследовании. Понятие проблемного поля исследования. Типология гипотез - гипотезы-основания и гипотезы-следствия,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основные и дополнительные гипотезы, первичные и 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4229B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Операциональное</w:t>
            </w:r>
            <w:proofErr w:type="spellEnd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определение.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 в маркетинговых исследованиях.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313520" w:rsidRPr="00313520" w:rsidTr="00D760A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E903B8" w:rsidRPr="00E903B8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A712B4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Измерение в естественных и социальных науках. Философские и математические аспекты измерения. Основные подходы к измерению - измерение как числовое представление величин и измерение как приписывание чисел для представление свойств измеряемых объектов. Понятие переменной в социальных науках.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A712B4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эталона измерения. Основные виды эталонов измерения в социальных исследованиях - статистические группировки, индексы, шкалы. Методы измерения - прямое, производное, совокупное. Применение индексов в социологическом исследовании. Основные типы измерительных шкал, применяемых в социологии: упорядоченные и неупорядоченные шкалы. Шкалы наименований, ранговые (порядковые), интервальные, шкалы отношений.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A712B4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Социологический опрос как вид социальной коммуникации. Структура формализованной социологической анкеты. Основные блоки анкеты как инструмента сбора социологической информации - обращение, основная часть, заключение. Функции каждого блока. Социально-демографический блок как источник объективной информации о структуре объекта исследования.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E903B8" w:rsidRPr="00313520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903B8" w:rsidRPr="005A719A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Раздел IY. Методы социоло</w:t>
            </w:r>
            <w:r w:rsidR="00B778BC"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этнометодологическая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Валидность качественных методов.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0400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:rsidTr="00163971">
        <w:trPr>
          <w:trHeight w:val="647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13520" w:rsidRPr="00313520" w:rsidRDefault="0016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семинары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13520" w:rsidRPr="00313520" w:rsidSect="00D760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313520" w:rsidRPr="00313520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F1EE5" w:rsidRPr="00313520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B71373" w:rsidRPr="00852143" w:rsidRDefault="00B71373" w:rsidP="00B713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B71373" w:rsidRPr="0085214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B71373" w:rsidRPr="0085214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B71373" w:rsidRPr="0085214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B71373" w:rsidRPr="0085214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2F1EE5" w:rsidRPr="00B7137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B71373" w:rsidRDefault="00B71373" w:rsidP="00B713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B71373" w:rsidRPr="003548D8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B71373" w:rsidRPr="003548D8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2F1EE5" w:rsidRPr="00B71373" w:rsidRDefault="00B71373" w:rsidP="00B71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</w:tc>
      </w:tr>
      <w:tr w:rsidR="002F1EE5" w:rsidRPr="00313520" w:rsidTr="002F1EE5">
        <w:trPr>
          <w:trHeight w:val="283"/>
        </w:trPr>
        <w:tc>
          <w:tcPr>
            <w:tcW w:w="2045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F1EE5" w:rsidRPr="00313520" w:rsidRDefault="005E01BB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:rsidTr="00D760AB">
        <w:trPr>
          <w:trHeight w:val="283"/>
        </w:trPr>
        <w:tc>
          <w:tcPr>
            <w:tcW w:w="2045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способен проанализировать медиаканал и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медианоситель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, путается в особенностях применения различных медиа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</w:t>
            </w:r>
            <w:r w:rsidR="00412CFF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.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412CFF" w:rsidRPr="00412CFF" w:rsidRDefault="00412CFF" w:rsidP="00412CF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11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работа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13520" w:rsidRPr="00313520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 по р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 I. Социологическое исследование как отрасль социологической науки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313520" w:rsidRPr="00313520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 xml:space="preserve">Понятие социологического знания. 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Трехуровневая структура социологического знания.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Взаимосвязь теоретического и практического уровней исследований социальных процессов и явлений.</w:t>
            </w:r>
          </w:p>
          <w:p w:rsidR="00313520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Определение области применения социологического знания.</w:t>
            </w:r>
          </w:p>
          <w:p w:rsidR="00503CD3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П</w:t>
            </w:r>
            <w:r w:rsidR="00503CD3" w:rsidRPr="003F67ED">
              <w:t>рименени</w:t>
            </w:r>
            <w:r w:rsidRPr="003F67ED">
              <w:t>е</w:t>
            </w:r>
            <w:r w:rsidR="00503CD3" w:rsidRPr="003F67ED">
              <w:t xml:space="preserve"> результатов эмпирических социологических исследований</w:t>
            </w:r>
            <w:r w:rsidRPr="003F67ED">
              <w:t xml:space="preserve"> в практике социального управления</w:t>
            </w:r>
            <w:r w:rsidR="00503CD3" w:rsidRPr="003F67ED">
              <w:t>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Стратегический план исследования.</w:t>
            </w:r>
          </w:p>
          <w:p w:rsidR="00CD0F71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Метод и методика социологического исследования.</w:t>
            </w:r>
            <w:r w:rsidR="00CD0F71" w:rsidRPr="003F67ED">
              <w:t xml:space="preserve"> </w:t>
            </w:r>
          </w:p>
          <w:p w:rsidR="003D139D" w:rsidRPr="003F67ED" w:rsidRDefault="00CD0F71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I. Социологическое исследование как отрасль социологической науки</w:t>
            </w:r>
          </w:p>
        </w:tc>
        <w:tc>
          <w:tcPr>
            <w:tcW w:w="9723" w:type="dxa"/>
          </w:tcPr>
          <w:p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 xml:space="preserve">Отличие социологического знания от общетеоретического знания, применяемого в естественных науках. 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Характеристики поисковой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описательной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и реализация аналитической исследовательской стратегии.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Описательная и аналитическая стратегии в исследованиях аудитории рекламных сообщений.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Процедура сбора и анализа первичной социологической информации о структуре и характеристиках целевой аудитории рекламного воздействия.</w:t>
            </w:r>
          </w:p>
        </w:tc>
      </w:tr>
      <w:tr w:rsidR="00313520" w:rsidRPr="00313520" w:rsidTr="00D760AB">
        <w:trPr>
          <w:trHeight w:val="775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:rsidR="009A551E" w:rsidRPr="003F67ED" w:rsidRDefault="003E72F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:rsidR="0021544A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Формирование системы основных понятий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Интерпретация основных понятий.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Формулировка </w:t>
            </w:r>
            <w:proofErr w:type="spellStart"/>
            <w:r w:rsidRPr="003F67ED">
              <w:t>операциональных</w:t>
            </w:r>
            <w:proofErr w:type="spellEnd"/>
            <w:r w:rsidRPr="003F67ED">
              <w:t xml:space="preserve"> определений.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объекта, генеральной и выборочной совокупности.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Характеристики выборки как микромодели генеральной совокупности.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Понятие репрезентативности</w:t>
            </w:r>
            <w:r w:rsidR="0021544A" w:rsidRPr="003F67ED">
              <w:t xml:space="preserve"> выборки</w:t>
            </w:r>
            <w:r w:rsidRPr="003F67ED">
              <w:t>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Требования к построению случайных (в</w:t>
            </w:r>
            <w:r w:rsidR="009A551E" w:rsidRPr="003F67ED">
              <w:t>ероятностны</w:t>
            </w:r>
            <w:r w:rsidRPr="003F67ED">
              <w:t>х) выборок.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Области применения квотных выборок в маркетинговых исследованиях.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Преимущества и недостатки </w:t>
            </w:r>
            <w:r w:rsidR="009A551E" w:rsidRPr="003F67ED">
              <w:t>неслучайны</w:t>
            </w:r>
            <w:r w:rsidRPr="003F67ED">
              <w:t>х</w:t>
            </w:r>
            <w:r w:rsidR="009A551E" w:rsidRPr="003F67ED">
              <w:t xml:space="preserve"> выбор</w:t>
            </w:r>
            <w:r w:rsidRPr="003F67ED">
              <w:t>о</w:t>
            </w:r>
            <w:r w:rsidR="009A551E" w:rsidRPr="003F67ED">
              <w:t>к.</w:t>
            </w:r>
          </w:p>
          <w:p w:rsidR="00313520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Метод «снежного кома» в изучении целевой аудитории рекламных сообщений.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социологического исследования</w:t>
            </w:r>
          </w:p>
        </w:tc>
        <w:tc>
          <w:tcPr>
            <w:tcW w:w="9723" w:type="dxa"/>
          </w:tcPr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проведения 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контрольной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письменной  работы под контролем преподавателя: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Форма контроля письменной  работы: защита отчета о выполненной работе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социологического исследования. 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 подгруппам ведущий представляет для обсуждения общую проблемную ситуацию, 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операционализации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(количество характеристик соответствует количеству членов группы).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операционализацию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рекомендации.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III. Измерение в социологическом исследовании</w:t>
            </w:r>
          </w:p>
          <w:p w:rsid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13520" w:rsidRPr="00313520" w:rsidRDefault="00313520" w:rsidP="002410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313520" w:rsidRPr="00313520" w:rsidRDefault="004C7E1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Понятие измерения в социальных науках.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Фактуальное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знание в естественных и социальных науках.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Закон больших чисел и формы его проявления в социальной сфере.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Переменные в социологическом исследовании.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лияни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пространственно-временного интервала на достоверность социологических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эталонов измерения в социологической науке.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индексы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маркетинговых исследованиях.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рекламе.</w:t>
            </w:r>
          </w:p>
          <w:p w:rsidR="00313520" w:rsidRPr="00313520" w:rsidRDefault="00241098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313520" w:rsidRPr="00313520" w:rsidRDefault="00DC50EA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III. Измерение в социологическом исследовании</w:t>
            </w:r>
          </w:p>
        </w:tc>
        <w:tc>
          <w:tcPr>
            <w:tcW w:w="9723" w:type="dxa"/>
          </w:tcPr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тестовых заданий: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«А». Из предложенных вариантов ответов выберите только один правильный.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Исследования, которые проводятся по единой программе и регулярно замеряют изменения социального объекта во времени, называются: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мониторинговыми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экспериментальными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точечными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Какой вид исследования решает задачу уточнения границы обследуемой совокупности?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описательное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пилотажное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аналитическое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«В». Из предложенных вариантов ответов выберите  несколько правильных (их  больше, чем один).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 выдвижении гипотез должны соблюдаться следующие требования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не должна заключать в себе противоречие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только принципиально новое знание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быть принципиально проверяемой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общеизвестные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Гипотеза не должна повторять </w:t>
            </w:r>
            <w:proofErr w:type="spellStart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однажлы</w:t>
            </w:r>
            <w:proofErr w:type="spellEnd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выдвинутые другим исследователем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Тесты формата «С». Задания на установление правильной последовательности, в которых от бакалавра  требуется указать правильный  порядок элементов,  действий или процессов, перечисленных в условии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Укажите правильную последовательность этапов программы социологического исследования: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объекта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инструментария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стратегического плана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проблемы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Построение выборочной совокупности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Формулировка цели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20" w:rsidRPr="00313520" w:rsidRDefault="00DC50EA" w:rsidP="00DC50E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DFCAEB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445319">
        <w:trPr>
          <w:trHeight w:val="3610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IY. Методы социологического исследования в рекламе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313520" w:rsidRPr="00313520" w:rsidRDefault="00445319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вопросы контрольной работы: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Отбор документальных источников  для изучения.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:rsidR="00116821" w:rsidRPr="00313520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2CFF" w:rsidRPr="00780BFA" w:rsidRDefault="00412CFF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</w:t>
            </w:r>
            <w:r w:rsidR="00313520" w:rsidRPr="00313520">
              <w:rPr>
                <w:rFonts w:ascii="Times New Roman" w:eastAsia="Calibri" w:hAnsi="Times New Roman" w:cs="Times New Roman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792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«2» - равно или менее 40%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65% - 84%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:rsidTr="00D760AB">
        <w:trPr>
          <w:trHeight w:val="1052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</w:t>
            </w:r>
            <w:r w:rsidRPr="00313520">
              <w:rPr>
                <w:rFonts w:ascii="Times New Roman" w:eastAsia="Calibri" w:hAnsi="Times New Roman" w:cs="Times New Roman"/>
              </w:rPr>
              <w:lastRenderedPageBreak/>
              <w:t>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на вопросы, присутствует эклектичность  и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0BFA" w:rsidRPr="00780BFA" w:rsidTr="00DF26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:rsidTr="00DF26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 w:val="restart"/>
          </w:tcPr>
          <w:p w:rsidR="00780BFA" w:rsidRPr="00780BFA" w:rsidRDefault="00412CFF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 с оценкой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фактические грубые ошибки;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:rsidTr="00D760AB">
        <w:trPr>
          <w:trHeight w:val="517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33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</w:t>
            </w:r>
            <w:r w:rsidR="0041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:rsidTr="00D760AB">
        <w:tc>
          <w:tcPr>
            <w:tcW w:w="2836" w:type="dxa"/>
            <w:vMerge w:val="restart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Оганян,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академического бакалавриата / К. М. Оганян. — 3-е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Зерчанинова, Т. 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Социология: методы прикладных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вузов / Т. Е. Зерчанинова. — 2-е изд.,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 / под ред. И. Е.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Тимерманиса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, А. Г.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Тановой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Ерѐмин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А.Д. 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Методология науки: Учебно-</w:t>
            </w: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СарФТИ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магистратуры— 2-е изд.,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Маркетинговые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СПО / С. Г.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— М. : Издательство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828 с. —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Серия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Горшков М.К.,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 Ф.Э.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Альфа-М: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Карпова Е.Г., Кащеев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13520" w:rsidRPr="00313520" w:rsidRDefault="00547672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547672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547672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13520" w:rsidRPr="00313520" w:rsidRDefault="00547672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30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13520" w:rsidRPr="00313520" w:rsidRDefault="00547672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1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2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34" w:rsidRDefault="00B21334" w:rsidP="00F52646">
      <w:pPr>
        <w:spacing w:after="0" w:line="240" w:lineRule="auto"/>
      </w:pPr>
      <w:r>
        <w:separator/>
      </w:r>
    </w:p>
  </w:endnote>
  <w:endnote w:type="continuationSeparator" w:id="0">
    <w:p w:rsidR="00B21334" w:rsidRDefault="00B21334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72" w:rsidRDefault="00547672">
    <w:pPr>
      <w:pStyle w:val="ae"/>
      <w:jc w:val="right"/>
    </w:pPr>
  </w:p>
  <w:p w:rsidR="00547672" w:rsidRDefault="005476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72" w:rsidRDefault="00547672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47672" w:rsidRDefault="00547672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72" w:rsidRDefault="00547672">
    <w:pPr>
      <w:pStyle w:val="ae"/>
      <w:jc w:val="right"/>
    </w:pPr>
  </w:p>
  <w:p w:rsidR="00547672" w:rsidRDefault="0054767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72" w:rsidRDefault="00547672">
    <w:pPr>
      <w:pStyle w:val="ae"/>
      <w:jc w:val="right"/>
    </w:pPr>
  </w:p>
  <w:p w:rsidR="00547672" w:rsidRDefault="005476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34" w:rsidRDefault="00B21334" w:rsidP="00F52646">
      <w:pPr>
        <w:spacing w:after="0" w:line="240" w:lineRule="auto"/>
      </w:pPr>
      <w:r>
        <w:separator/>
      </w:r>
    </w:p>
  </w:footnote>
  <w:footnote w:type="continuationSeparator" w:id="0">
    <w:p w:rsidR="00B21334" w:rsidRDefault="00B21334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Content>
      <w:p w:rsidR="00547672" w:rsidRDefault="005476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72" w:rsidRDefault="005476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547672" w:rsidRDefault="005476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47672" w:rsidRDefault="0054767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547672" w:rsidRDefault="005476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7672" w:rsidRDefault="005476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2"/>
    <w:rsid w:val="00007E46"/>
    <w:rsid w:val="00012F51"/>
    <w:rsid w:val="00024F83"/>
    <w:rsid w:val="00042D82"/>
    <w:rsid w:val="00046ED6"/>
    <w:rsid w:val="000577A5"/>
    <w:rsid w:val="00061AAB"/>
    <w:rsid w:val="000652D2"/>
    <w:rsid w:val="00066BF2"/>
    <w:rsid w:val="00073CB0"/>
    <w:rsid w:val="000A4218"/>
    <w:rsid w:val="000D1356"/>
    <w:rsid w:val="000E3B19"/>
    <w:rsid w:val="000E677B"/>
    <w:rsid w:val="00106592"/>
    <w:rsid w:val="0011464D"/>
    <w:rsid w:val="00116821"/>
    <w:rsid w:val="001231D4"/>
    <w:rsid w:val="0014637B"/>
    <w:rsid w:val="00151E3B"/>
    <w:rsid w:val="00161763"/>
    <w:rsid w:val="00163971"/>
    <w:rsid w:val="001676DF"/>
    <w:rsid w:val="001C465B"/>
    <w:rsid w:val="001F7024"/>
    <w:rsid w:val="00211B99"/>
    <w:rsid w:val="00214AF1"/>
    <w:rsid w:val="0021544A"/>
    <w:rsid w:val="00241098"/>
    <w:rsid w:val="002B4CCA"/>
    <w:rsid w:val="002F1EE5"/>
    <w:rsid w:val="00313520"/>
    <w:rsid w:val="00315769"/>
    <w:rsid w:val="003217D4"/>
    <w:rsid w:val="0034229B"/>
    <w:rsid w:val="003A10F6"/>
    <w:rsid w:val="003A47EE"/>
    <w:rsid w:val="003D139D"/>
    <w:rsid w:val="003E72FA"/>
    <w:rsid w:val="003F67ED"/>
    <w:rsid w:val="00412CFF"/>
    <w:rsid w:val="00445319"/>
    <w:rsid w:val="004873C9"/>
    <w:rsid w:val="004A63E5"/>
    <w:rsid w:val="004C7CCC"/>
    <w:rsid w:val="004C7E11"/>
    <w:rsid w:val="004F3F68"/>
    <w:rsid w:val="0050024B"/>
    <w:rsid w:val="00503CD3"/>
    <w:rsid w:val="00504003"/>
    <w:rsid w:val="00522846"/>
    <w:rsid w:val="00524F42"/>
    <w:rsid w:val="00547672"/>
    <w:rsid w:val="00553971"/>
    <w:rsid w:val="005A719A"/>
    <w:rsid w:val="005B408D"/>
    <w:rsid w:val="005E01BB"/>
    <w:rsid w:val="006308A4"/>
    <w:rsid w:val="0063356A"/>
    <w:rsid w:val="006461CC"/>
    <w:rsid w:val="006462E6"/>
    <w:rsid w:val="00653393"/>
    <w:rsid w:val="00664D15"/>
    <w:rsid w:val="00682C9E"/>
    <w:rsid w:val="006B77BB"/>
    <w:rsid w:val="006D18A2"/>
    <w:rsid w:val="007455BB"/>
    <w:rsid w:val="00753F78"/>
    <w:rsid w:val="007809C3"/>
    <w:rsid w:val="00780BFA"/>
    <w:rsid w:val="0079580D"/>
    <w:rsid w:val="00795C05"/>
    <w:rsid w:val="007B1919"/>
    <w:rsid w:val="008010E8"/>
    <w:rsid w:val="008143F9"/>
    <w:rsid w:val="00826721"/>
    <w:rsid w:val="0083189E"/>
    <w:rsid w:val="00835E8F"/>
    <w:rsid w:val="008366FC"/>
    <w:rsid w:val="008451A1"/>
    <w:rsid w:val="00852143"/>
    <w:rsid w:val="00884F4E"/>
    <w:rsid w:val="00894627"/>
    <w:rsid w:val="008C37E2"/>
    <w:rsid w:val="008F1CA3"/>
    <w:rsid w:val="008F32ED"/>
    <w:rsid w:val="0090609B"/>
    <w:rsid w:val="00917C69"/>
    <w:rsid w:val="00963706"/>
    <w:rsid w:val="009816E5"/>
    <w:rsid w:val="009A4641"/>
    <w:rsid w:val="009A551E"/>
    <w:rsid w:val="009E2624"/>
    <w:rsid w:val="00A04205"/>
    <w:rsid w:val="00A31E38"/>
    <w:rsid w:val="00A712B4"/>
    <w:rsid w:val="00A8681B"/>
    <w:rsid w:val="00AD12E2"/>
    <w:rsid w:val="00AF3184"/>
    <w:rsid w:val="00B07CB6"/>
    <w:rsid w:val="00B17AF0"/>
    <w:rsid w:val="00B21334"/>
    <w:rsid w:val="00B71373"/>
    <w:rsid w:val="00B722AE"/>
    <w:rsid w:val="00B778BC"/>
    <w:rsid w:val="00BD170C"/>
    <w:rsid w:val="00BE652C"/>
    <w:rsid w:val="00C4281F"/>
    <w:rsid w:val="00C5131D"/>
    <w:rsid w:val="00CB088F"/>
    <w:rsid w:val="00CC660B"/>
    <w:rsid w:val="00CD0F71"/>
    <w:rsid w:val="00CE0E9D"/>
    <w:rsid w:val="00D05EF0"/>
    <w:rsid w:val="00D11D76"/>
    <w:rsid w:val="00D256D2"/>
    <w:rsid w:val="00D60567"/>
    <w:rsid w:val="00D760AB"/>
    <w:rsid w:val="00D85958"/>
    <w:rsid w:val="00DC50EA"/>
    <w:rsid w:val="00DD752A"/>
    <w:rsid w:val="00DE5425"/>
    <w:rsid w:val="00DF264F"/>
    <w:rsid w:val="00E23843"/>
    <w:rsid w:val="00E45DD0"/>
    <w:rsid w:val="00E84A91"/>
    <w:rsid w:val="00E903B8"/>
    <w:rsid w:val="00EC3B7E"/>
    <w:rsid w:val="00EE7063"/>
    <w:rsid w:val="00F52646"/>
    <w:rsid w:val="00FA31D6"/>
    <w:rsid w:val="00FB111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05C1-489C-4A1B-A2BD-5F464CED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38</cp:revision>
  <dcterms:created xsi:type="dcterms:W3CDTF">2022-04-07T20:19:00Z</dcterms:created>
  <dcterms:modified xsi:type="dcterms:W3CDTF">2022-05-14T16:15:00Z</dcterms:modified>
</cp:coreProperties>
</file>