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E4132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Инновации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4C08F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4C08F9">
              <w:rPr>
                <w:rFonts w:eastAsia="Times New Roman"/>
                <w:sz w:val="26"/>
                <w:szCs w:val="26"/>
                <w:lang w:val="uk-UA"/>
              </w:rPr>
              <w:t>социокультурной</w:t>
            </w:r>
            <w:proofErr w:type="spellEnd"/>
            <w:r w:rsidR="004C08F9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4C08F9" w:rsidRDefault="00EB4434" w:rsidP="004C08F9">
            <w:pPr>
              <w:rPr>
                <w:sz w:val="26"/>
                <w:szCs w:val="26"/>
                <w:lang w:val="uk-UA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8E413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8E4132">
              <w:rPr>
                <w:rFonts w:eastAsia="Times New Roman"/>
                <w:sz w:val="24"/>
                <w:szCs w:val="24"/>
              </w:rPr>
              <w:t>Инновации в рекламе</w:t>
            </w:r>
            <w:r w:rsidR="00610D0A">
              <w:rPr>
                <w:sz w:val="24"/>
                <w:szCs w:val="24"/>
              </w:rPr>
              <w:t xml:space="preserve"> и</w:t>
            </w:r>
            <w:r w:rsidR="00610D0A" w:rsidRPr="004F6E7D">
              <w:rPr>
                <w:sz w:val="24"/>
                <w:szCs w:val="24"/>
              </w:rPr>
              <w:t xml:space="preserve">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E4132" w:rsidRPr="00D676EE" w:rsidTr="00B12D04">
        <w:trPr>
          <w:trHeight w:val="283"/>
        </w:trPr>
        <w:tc>
          <w:tcPr>
            <w:tcW w:w="381" w:type="dxa"/>
            <w:vAlign w:val="center"/>
          </w:tcPr>
          <w:p w:rsidR="008E4132" w:rsidRPr="00D676EE" w:rsidRDefault="008E4132" w:rsidP="00B12D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4132" w:rsidRPr="00D676EE" w:rsidRDefault="008E4132" w:rsidP="00B12D0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4132" w:rsidRPr="00D676EE" w:rsidRDefault="008E4132" w:rsidP="00B12D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32" w:rsidRPr="007C3227" w:rsidTr="00B12D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E4132" w:rsidRPr="00EC2986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4132" w:rsidRPr="00D676EE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8E4132" w:rsidRPr="00F3025C" w:rsidRDefault="008E4132" w:rsidP="008E413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8E4132" w:rsidRPr="004F6E7D" w:rsidRDefault="008E4132" w:rsidP="008E413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proofErr w:type="gramStart"/>
      <w:r w:rsidRPr="00163BEE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gramEnd"/>
      <w:r w:rsidRPr="00163BEE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шестом семестре.</w:t>
      </w:r>
    </w:p>
    <w:p w:rsidR="008E4132" w:rsidRPr="00610D0A" w:rsidRDefault="008E4132" w:rsidP="008E4132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610D0A">
        <w:rPr>
          <w:sz w:val="24"/>
          <w:szCs w:val="24"/>
        </w:rPr>
        <w:t>предусмотрена.</w:t>
      </w:r>
    </w:p>
    <w:p w:rsidR="008E4132" w:rsidRPr="00671D3E" w:rsidRDefault="008E4132" w:rsidP="008E413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E4132" w:rsidRPr="00797466" w:rsidRDefault="008E4132" w:rsidP="008E413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8E4132" w:rsidRPr="00614ED1" w:rsidRDefault="008E4132" w:rsidP="008E4132">
      <w:pPr>
        <w:ind w:firstLine="709"/>
        <w:rPr>
          <w:sz w:val="24"/>
          <w:szCs w:val="24"/>
        </w:rPr>
      </w:pPr>
    </w:p>
    <w:p w:rsidR="008E4132" w:rsidRPr="009849EF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8E4132" w:rsidRPr="00EB4434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B4434">
        <w:rPr>
          <w:sz w:val="24"/>
          <w:szCs w:val="24"/>
        </w:rPr>
        <w:t>обучения по</w:t>
      </w:r>
      <w:proofErr w:type="gramEnd"/>
      <w:r w:rsidRPr="00EB4434">
        <w:rPr>
          <w:sz w:val="24"/>
          <w:szCs w:val="24"/>
        </w:rPr>
        <w:t xml:space="preserve"> предшествующим дисциплинам и практикам: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8E4132" w:rsidRPr="007B449A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учебной дисциплине используются при изучении следующих дисциплин и прохождения практик: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8E4132" w:rsidRPr="00E36791" w:rsidRDefault="008E4132" w:rsidP="008E4132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 w:rsidRPr="00E36791">
        <w:rPr>
          <w:sz w:val="24"/>
          <w:szCs w:val="24"/>
        </w:rPr>
        <w:t>.</w:t>
      </w:r>
      <w:proofErr w:type="gramEnd"/>
      <w:r w:rsidRPr="00E36791">
        <w:rPr>
          <w:sz w:val="24"/>
          <w:szCs w:val="24"/>
        </w:rPr>
        <w:t xml:space="preserve"> </w:t>
      </w:r>
      <w:proofErr w:type="gramStart"/>
      <w:r w:rsidRPr="00E36791">
        <w:rPr>
          <w:sz w:val="24"/>
          <w:szCs w:val="24"/>
        </w:rPr>
        <w:t>п</w:t>
      </w:r>
      <w:proofErr w:type="gramEnd"/>
      <w:r w:rsidRPr="00E36791"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8E4132" w:rsidRPr="001D126D" w:rsidRDefault="008E4132" w:rsidP="008E413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является </w:t>
      </w:r>
      <w:r w:rsidRPr="0072559C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 w:rsidRPr="0072559C">
        <w:rPr>
          <w:sz w:val="24"/>
          <w:szCs w:val="24"/>
        </w:rPr>
        <w:t xml:space="preserve"> инновационны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72559C">
        <w:rPr>
          <w:sz w:val="24"/>
          <w:szCs w:val="24"/>
        </w:rPr>
        <w:t xml:space="preserve"> и технологи</w:t>
      </w:r>
      <w:r>
        <w:rPr>
          <w:sz w:val="24"/>
          <w:szCs w:val="24"/>
        </w:rPr>
        <w:t>й</w:t>
      </w:r>
      <w:r w:rsidRPr="0072559C">
        <w:rPr>
          <w:sz w:val="24"/>
          <w:szCs w:val="24"/>
        </w:rPr>
        <w:t xml:space="preserve"> выстраиван</w:t>
      </w:r>
      <w:r>
        <w:rPr>
          <w:sz w:val="24"/>
          <w:szCs w:val="24"/>
        </w:rPr>
        <w:t xml:space="preserve">ия коммерческих коммуникаций и </w:t>
      </w:r>
      <w:r w:rsidRPr="0072559C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Pr="0072559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й,</w:t>
      </w:r>
      <w:r w:rsidRPr="0072559C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  <w:proofErr w:type="gramEnd"/>
    </w:p>
    <w:p w:rsidR="008E4132" w:rsidRPr="00671D3E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</w:t>
      </w:r>
      <w:proofErr w:type="gramStart"/>
      <w:r w:rsidRPr="00E4004D">
        <w:rPr>
          <w:sz w:val="24"/>
          <w:szCs w:val="24"/>
        </w:rPr>
        <w:t>обучения по</w:t>
      </w:r>
      <w:proofErr w:type="gramEnd"/>
      <w:r w:rsidRPr="00E4004D">
        <w:rPr>
          <w:sz w:val="24"/>
          <w:szCs w:val="24"/>
        </w:rPr>
        <w:t xml:space="preserve"> учебной дисциплине является овладение обучающимися</w:t>
      </w:r>
      <w:r w:rsidRPr="00030F8B">
        <w:rPr>
          <w:color w:val="333333"/>
          <w:sz w:val="24"/>
          <w:szCs w:val="24"/>
        </w:rPr>
        <w:t xml:space="preserve">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pPr w:leftFromText="180" w:rightFromText="180" w:vertAnchor="text" w:horzAnchor="margin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E4132" w:rsidRPr="00F31E81" w:rsidTr="00B12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4132" w:rsidRPr="002E16C0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C08F9" w:rsidRPr="00F31E81" w:rsidTr="00B12D0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8F9" w:rsidRPr="004C08F9" w:rsidRDefault="004C08F9" w:rsidP="006E3C90">
            <w:pPr>
              <w:rPr>
                <w:color w:val="000000"/>
                <w:sz w:val="24"/>
                <w:szCs w:val="24"/>
              </w:rPr>
            </w:pPr>
            <w:r w:rsidRPr="004C08F9">
              <w:rPr>
                <w:color w:val="000000"/>
                <w:sz w:val="24"/>
                <w:szCs w:val="24"/>
              </w:rPr>
              <w:t>ПК-2</w:t>
            </w:r>
          </w:p>
          <w:p w:rsidR="004C08F9" w:rsidRDefault="004C08F9" w:rsidP="006E3C90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08F9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C08F9">
              <w:rPr>
                <w:color w:val="000000"/>
                <w:sz w:val="24"/>
                <w:szCs w:val="24"/>
              </w:rPr>
              <w:t xml:space="preserve"> применять основные технологии рекламных коммуникаций при продвижении </w:t>
            </w:r>
            <w:proofErr w:type="spellStart"/>
            <w:r w:rsidRPr="004C08F9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4C08F9">
              <w:rPr>
                <w:color w:val="000000"/>
                <w:sz w:val="24"/>
                <w:szCs w:val="24"/>
              </w:rPr>
              <w:t xml:space="preserve"> продукта</w:t>
            </w:r>
          </w:p>
          <w:p w:rsidR="004C08F9" w:rsidRPr="00503805" w:rsidRDefault="004C08F9" w:rsidP="006E3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F9" w:rsidRPr="004C08F9" w:rsidRDefault="004C08F9" w:rsidP="006E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8F9">
              <w:rPr>
                <w:sz w:val="24"/>
                <w:szCs w:val="24"/>
              </w:rPr>
              <w:t>ИД-ПК-2.1</w:t>
            </w:r>
          </w:p>
          <w:p w:rsidR="004C08F9" w:rsidRPr="00F61B38" w:rsidRDefault="004C08F9" w:rsidP="006E3C90">
            <w:pPr>
              <w:rPr>
                <w:color w:val="000000"/>
                <w:sz w:val="24"/>
                <w:szCs w:val="24"/>
              </w:rPr>
            </w:pPr>
            <w:r w:rsidRPr="004C08F9">
              <w:rPr>
                <w:color w:val="000000"/>
                <w:sz w:val="24"/>
                <w:szCs w:val="24"/>
              </w:rPr>
              <w:t xml:space="preserve">Использование открытых источников информации для формирования целевых групп и определения инструментов продвижения </w:t>
            </w:r>
            <w:proofErr w:type="spellStart"/>
            <w:r w:rsidRPr="004C08F9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4C08F9">
              <w:rPr>
                <w:color w:val="000000"/>
                <w:sz w:val="24"/>
                <w:szCs w:val="24"/>
              </w:rPr>
              <w:t xml:space="preserve">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8F9" w:rsidRPr="00F40B59" w:rsidRDefault="004C08F9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4C08F9" w:rsidRPr="00F40B59" w:rsidRDefault="004C08F9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4C08F9" w:rsidRPr="002D52BC" w:rsidRDefault="004C08F9" w:rsidP="00B12D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C08F9" w:rsidRPr="00F31E81" w:rsidTr="00B12D0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8F9" w:rsidRPr="004C08F9" w:rsidRDefault="004C08F9" w:rsidP="00B12D04">
            <w:pPr>
              <w:pStyle w:val="pboth"/>
              <w:rPr>
                <w:rFonts w:eastAsiaTheme="minorEastAsia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F9" w:rsidRPr="004C08F9" w:rsidRDefault="004C08F9" w:rsidP="006E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8F9">
              <w:rPr>
                <w:sz w:val="24"/>
                <w:szCs w:val="24"/>
              </w:rPr>
              <w:t>ИД-ПК-2.2</w:t>
            </w:r>
          </w:p>
          <w:p w:rsidR="004C08F9" w:rsidRPr="004C08F9" w:rsidRDefault="004C08F9" w:rsidP="00B12D04">
            <w:r w:rsidRPr="004C08F9">
              <w:rPr>
                <w:color w:val="000000"/>
                <w:sz w:val="24"/>
                <w:szCs w:val="24"/>
              </w:rPr>
              <w:t xml:space="preserve">Применение основных коммуникационных и рекламных  инструментов при разработке и продвижении </w:t>
            </w:r>
            <w:proofErr w:type="spellStart"/>
            <w:r w:rsidRPr="004C08F9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4C08F9">
              <w:rPr>
                <w:color w:val="000000"/>
                <w:sz w:val="24"/>
                <w:szCs w:val="24"/>
              </w:rPr>
              <w:t xml:space="preserve"> 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8F9" w:rsidRPr="00021C27" w:rsidRDefault="004C08F9" w:rsidP="00B12D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4132" w:rsidRDefault="008E4132" w:rsidP="008E4132"/>
    <w:p w:rsidR="008E4132" w:rsidRDefault="008E4132" w:rsidP="008E4132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8E4132" w:rsidTr="00B6294E">
        <w:trPr>
          <w:trHeight w:val="340"/>
        </w:trPr>
        <w:tc>
          <w:tcPr>
            <w:tcW w:w="3969" w:type="dxa"/>
            <w:vAlign w:val="center"/>
          </w:tcPr>
          <w:p w:rsidR="008E4132" w:rsidRPr="002D52BC" w:rsidRDefault="008E4132" w:rsidP="00B12D04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E4132" w:rsidRPr="002D52BC" w:rsidRDefault="008E4132" w:rsidP="00B12D04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8E4132" w:rsidRPr="0004140F" w:rsidRDefault="008E4132" w:rsidP="00B12D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p w:rsidR="008E4132" w:rsidRDefault="008E4132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697F1C" w:rsidRDefault="008E4132" w:rsidP="00B12D04">
            <w:r>
              <w:t>6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8E4132" w:rsidRPr="00697F1C" w:rsidRDefault="008E4132" w:rsidP="00B12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Default="008E4132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8E4132" w:rsidRDefault="008E4132" w:rsidP="00B12D0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B02E88" w:rsidRDefault="008E4132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3" w:type="dxa"/>
          </w:tcPr>
          <w:p w:rsidR="008E4132" w:rsidRDefault="008E4132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8E4132" w:rsidRDefault="008E4132" w:rsidP="00B12D0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E4004D" w:rsidRDefault="00E4004D" w:rsidP="008340EB"/>
    <w:p w:rsidR="00E4004D" w:rsidRDefault="00E4004D" w:rsidP="008340EB"/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8340EB">
              <w:rPr>
                <w:b/>
              </w:rPr>
              <w:t>семестр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инновационного 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8E4132" w:rsidRPr="004F5D2C" w:rsidRDefault="008E4132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4132" w:rsidRPr="006168DD" w:rsidTr="00B12D04">
        <w:tc>
          <w:tcPr>
            <w:tcW w:w="1701" w:type="dxa"/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C08F9">
      <w:pPr>
        <w:pStyle w:val="af0"/>
        <w:ind w:left="0"/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p w:rsidR="008E4132" w:rsidRDefault="008E4132" w:rsidP="008E413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Default="008E4132" w:rsidP="00B12D04">
            <w:pPr>
              <w:rPr>
                <w:b/>
                <w:i/>
              </w:rPr>
            </w:pP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</w:tr>
      <w:tr w:rsidR="008E4132" w:rsidRPr="008448CC" w:rsidTr="00B12D04">
        <w:trPr>
          <w:trHeight w:val="13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Сущность и виды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Категориальное пространство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Логистика инноваций.</w:t>
            </w:r>
          </w:p>
          <w:p w:rsidR="008E4132" w:rsidRPr="00B12D04" w:rsidRDefault="00B12D04" w:rsidP="00B12D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2D04">
              <w:rPr>
                <w:color w:val="000000"/>
              </w:rPr>
              <w:t>Инновационные отношения.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>Деятельность торгового предприятия в области системы инновационных маркетинговых коммуникаций.</w:t>
            </w:r>
          </w:p>
          <w:p w:rsidR="00B12D04" w:rsidRDefault="00B12D04" w:rsidP="00B12D04">
            <w:pPr>
              <w:jc w:val="both"/>
            </w:pPr>
            <w:r>
              <w:t>Эффективное применение инструментов инновационных маркетинговых коммуникаций.</w:t>
            </w:r>
          </w:p>
          <w:p w:rsidR="008E4132" w:rsidRPr="007D07D3" w:rsidRDefault="00B12D04" w:rsidP="00B12D04">
            <w:pPr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</w:rPr>
            </w:pPr>
            <w:r>
              <w:t>Применение интеграции различных техник и приемов продвижения в единую маркетинговую коммуникативную стратегию торгового предприятия.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 xml:space="preserve">Основы и практические подходы к проведению маркетинговых исследований. </w:t>
            </w:r>
          </w:p>
          <w:p w:rsidR="00B12D04" w:rsidRDefault="00B12D04" w:rsidP="00B12D04">
            <w:pPr>
              <w:jc w:val="both"/>
            </w:pPr>
            <w:r>
              <w:t xml:space="preserve">Процессы предварительной и окончательной сегментации рынка. </w:t>
            </w:r>
          </w:p>
          <w:p w:rsidR="00B12D04" w:rsidRDefault="00B12D04" w:rsidP="00B12D04">
            <w:pPr>
              <w:jc w:val="both"/>
            </w:pPr>
            <w:r>
              <w:t>Сущность, подходы и проблемы позиционирования бизнеса и товаров.</w:t>
            </w:r>
          </w:p>
          <w:p w:rsidR="008E4132" w:rsidRPr="003A6E29" w:rsidRDefault="00B12D04" w:rsidP="00B12D04">
            <w:pPr>
              <w:jc w:val="both"/>
            </w:pPr>
            <w:r>
              <w:t>Аналитическое позиционирование как основа выбора варианта стратегического развития и принятия управленческих решений.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Default="00B12D04" w:rsidP="00B12D04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B12D04">
              <w:rPr>
                <w:iCs/>
              </w:rPr>
              <w:t xml:space="preserve">истемные изменения связей с общественностью, в частности новую предметную и объектную сферы, модели коммуникации, изменение </w:t>
            </w:r>
            <w:proofErr w:type="spellStart"/>
            <w:r w:rsidRPr="00B12D04">
              <w:rPr>
                <w:iCs/>
              </w:rPr>
              <w:t>субъект-объектных</w:t>
            </w:r>
            <w:proofErr w:type="spellEnd"/>
            <w:r w:rsidRPr="00B12D04">
              <w:rPr>
                <w:iCs/>
              </w:rPr>
              <w:t xml:space="preserve"> отношений, кардинальную смену коммуникационной парадигмы: от управления к </w:t>
            </w:r>
            <w:proofErr w:type="spellStart"/>
            <w:r w:rsidRPr="00B12D04">
              <w:rPr>
                <w:iCs/>
              </w:rPr>
              <w:t>коллаборации</w:t>
            </w:r>
            <w:proofErr w:type="spellEnd"/>
            <w:r w:rsidRPr="00B12D04">
              <w:rPr>
                <w:iCs/>
              </w:rPr>
              <w:t xml:space="preserve">, – и предлагает методологические принципы анализа (многомерности, </w:t>
            </w:r>
            <w:proofErr w:type="spellStart"/>
            <w:r w:rsidRPr="00B12D04">
              <w:rPr>
                <w:iCs/>
              </w:rPr>
              <w:t>проективности</w:t>
            </w:r>
            <w:proofErr w:type="spellEnd"/>
            <w:r w:rsidRPr="00B12D04">
              <w:rPr>
                <w:iCs/>
              </w:rPr>
              <w:t xml:space="preserve">, </w:t>
            </w:r>
            <w:proofErr w:type="spellStart"/>
            <w:r w:rsidRPr="00B12D04">
              <w:rPr>
                <w:iCs/>
              </w:rPr>
              <w:t>проактивности</w:t>
            </w:r>
            <w:proofErr w:type="spellEnd"/>
            <w:r w:rsidRPr="00B12D04">
              <w:rPr>
                <w:iCs/>
              </w:rPr>
              <w:t>) и методологические основания исследования общественных с</w:t>
            </w:r>
            <w:r w:rsidR="00E4749E">
              <w:rPr>
                <w:iCs/>
              </w:rPr>
              <w:t xml:space="preserve">вязей в </w:t>
            </w:r>
            <w:proofErr w:type="gramStart"/>
            <w:r w:rsidR="00E4749E">
              <w:rPr>
                <w:iCs/>
              </w:rPr>
              <w:t>инновационном</w:t>
            </w:r>
            <w:proofErr w:type="gramEnd"/>
            <w:r w:rsidR="00E4749E">
              <w:rPr>
                <w:iCs/>
              </w:rPr>
              <w:t xml:space="preserve"> </w:t>
            </w:r>
            <w:proofErr w:type="spellStart"/>
            <w:r w:rsidR="00E4749E">
              <w:rPr>
                <w:iCs/>
              </w:rPr>
              <w:t>дискурсе</w:t>
            </w:r>
            <w:proofErr w:type="spellEnd"/>
            <w:r w:rsidR="00E4749E">
              <w:rPr>
                <w:iCs/>
              </w:rPr>
              <w:t>.</w:t>
            </w:r>
          </w:p>
          <w:p w:rsidR="008E4132" w:rsidRPr="00B12D04" w:rsidRDefault="00E4749E" w:rsidP="00E4749E">
            <w:pPr>
              <w:jc w:val="both"/>
              <w:rPr>
                <w:rFonts w:asciiTheme="minorHAnsi" w:hAnsiTheme="minorHAnsi"/>
                <w:color w:val="555555"/>
              </w:rPr>
            </w:pPr>
            <w:r>
              <w:rPr>
                <w:iCs/>
              </w:rPr>
              <w:t>П</w:t>
            </w:r>
            <w:r w:rsidR="00B12D04" w:rsidRPr="00B12D04">
              <w:rPr>
                <w:iCs/>
              </w:rPr>
              <w:t>редпосылки изменения онтологического статуса общественных связей.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5C2175" w:rsidRDefault="008E4132" w:rsidP="00B12D04">
            <w:pPr>
              <w:rPr>
                <w:b/>
                <w:i/>
              </w:rPr>
            </w:pPr>
            <w:r>
              <w:rPr>
                <w:b/>
              </w:rPr>
              <w:t>Планирование инновационного коммуникационного продукта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Исследование рынка и целевой аудитории.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каналы воздействия на целевую аудиторию.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этапы рекламной кампании.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Происходит распределение бюджета по этапам рекламной кампании.</w:t>
            </w:r>
          </w:p>
          <w:p w:rsidR="008E4132" w:rsidRPr="00E4749E" w:rsidRDefault="00E4749E" w:rsidP="00E4749E">
            <w:pPr>
              <w:jc w:val="both"/>
              <w:rPr>
                <w:rFonts w:ascii="Arial" w:hAnsi="Arial" w:cs="Arial"/>
                <w:color w:val="202124"/>
              </w:rPr>
            </w:pPr>
            <w:r w:rsidRPr="00E4749E">
              <w:rPr>
                <w:iCs/>
              </w:rPr>
              <w:t>Определяются порядок и продолжительность размещения кампаний.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7A73F7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E4749E" w:rsidRPr="00E4749E">
              <w:rPr>
                <w:bCs/>
              </w:rPr>
              <w:t>орм подачи информации</w:t>
            </w:r>
            <w:r>
              <w:rPr>
                <w:bCs/>
              </w:rPr>
              <w:t xml:space="preserve"> для привлечения внимания</w:t>
            </w:r>
            <w:r w:rsidR="00E4749E" w:rsidRPr="00E4749E">
              <w:rPr>
                <w:bCs/>
              </w:rPr>
              <w:t>:</w:t>
            </w:r>
          </w:p>
          <w:p w:rsidR="007A73F7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Эксклюзив Сенсация Интрига Провокация 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Информационная война</w:t>
            </w:r>
            <w:r w:rsidR="007A73F7">
              <w:rPr>
                <w:bCs/>
              </w:rPr>
              <w:t>.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 xml:space="preserve">Взаимовлияние </w:t>
            </w:r>
            <w:proofErr w:type="gramStart"/>
            <w:r w:rsidRPr="007A73F7">
              <w:rPr>
                <w:iCs/>
              </w:rPr>
              <w:t>традиционных</w:t>
            </w:r>
            <w:proofErr w:type="gramEnd"/>
            <w:r w:rsidRPr="007A73F7">
              <w:rPr>
                <w:iCs/>
              </w:rPr>
              <w:t xml:space="preserve"> </w:t>
            </w:r>
            <w:proofErr w:type="spellStart"/>
            <w:r w:rsidRPr="007A73F7">
              <w:rPr>
                <w:iCs/>
              </w:rPr>
              <w:t>сми</w:t>
            </w:r>
            <w:proofErr w:type="spellEnd"/>
            <w:r w:rsidRPr="007A73F7">
              <w:rPr>
                <w:iCs/>
              </w:rPr>
              <w:t xml:space="preserve"> и Интернета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Организация специальных событий</w:t>
            </w:r>
          </w:p>
          <w:p w:rsidR="008E4132" w:rsidRPr="007A73F7" w:rsidRDefault="007A73F7" w:rsidP="007A73F7">
            <w:pPr>
              <w:jc w:val="both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7A73F7">
              <w:rPr>
                <w:iCs/>
              </w:rPr>
              <w:t>Информационно-пропагандистские кампании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Выстраивание эффективной </w:t>
            </w:r>
            <w:proofErr w:type="spellStart"/>
            <w:proofErr w:type="gramStart"/>
            <w:r>
              <w:t>бренд-коммуникации</w:t>
            </w:r>
            <w:proofErr w:type="spellEnd"/>
            <w:proofErr w:type="gramEnd"/>
            <w:r>
              <w:t xml:space="preserve"> с клиентами как одного из ключевых ресурсов формирования нематериального актива компании.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взаимосвязи комплекса </w:t>
            </w:r>
            <w:proofErr w:type="gramStart"/>
            <w:r>
              <w:t>интегрированных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 и потребительской ценности продуктового предложения компании. 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Факторы и тенденции развития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. </w:t>
            </w:r>
          </w:p>
          <w:p w:rsidR="008E4132" w:rsidRPr="00D90C58" w:rsidRDefault="007A73F7" w:rsidP="007A73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Технологии разработки и реализации программы продвижения бренда, ориентированной на формирование устойчивой конкурентной позиции компании.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B12D04">
            <w:pPr>
              <w:jc w:val="both"/>
            </w:pPr>
            <w:r>
              <w:t>Интегрированный подход к формированию коммуникационной политики предприятия</w:t>
            </w:r>
          </w:p>
          <w:p w:rsidR="007A73F7" w:rsidRDefault="007A73F7" w:rsidP="00B12D04">
            <w:pPr>
              <w:jc w:val="both"/>
            </w:pPr>
            <w:proofErr w:type="gramStart"/>
            <w:r>
              <w:t>Рекламная</w:t>
            </w:r>
            <w:proofErr w:type="gramEnd"/>
            <w:r>
              <w:t xml:space="preserve"> и </w:t>
            </w:r>
            <w:proofErr w:type="spellStart"/>
            <w:r>
              <w:t>ПР-деятельность</w:t>
            </w:r>
            <w:proofErr w:type="spellEnd"/>
            <w:r>
              <w:t xml:space="preserve"> в системе ИМК</w:t>
            </w:r>
          </w:p>
          <w:p w:rsidR="007A73F7" w:rsidRDefault="007A73F7" w:rsidP="007A73F7">
            <w:pPr>
              <w:jc w:val="both"/>
            </w:pPr>
            <w:r>
              <w:t>АТ</w:t>
            </w:r>
            <w:proofErr w:type="gramStart"/>
            <w:r>
              <w:t>L</w:t>
            </w:r>
            <w:proofErr w:type="gramEnd"/>
            <w:r>
              <w:t xml:space="preserve"> и </w:t>
            </w:r>
            <w:proofErr w:type="spellStart"/>
            <w:r>
              <w:t>ВТL-технологии</w:t>
            </w:r>
            <w:proofErr w:type="spellEnd"/>
            <w:r>
              <w:t xml:space="preserve"> в коммуникационной политике предприятия</w:t>
            </w:r>
          </w:p>
          <w:p w:rsidR="007A73F7" w:rsidRDefault="007A73F7" w:rsidP="007A73F7">
            <w:pPr>
              <w:jc w:val="both"/>
            </w:pPr>
            <w:r>
              <w:t>Системность использования средств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Оценка эффективности системы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Разработка программы.</w:t>
            </w:r>
          </w:p>
          <w:p w:rsidR="007A73F7" w:rsidRDefault="007A73F7" w:rsidP="007A73F7">
            <w:pPr>
              <w:jc w:val="both"/>
            </w:pPr>
            <w:proofErr w:type="spellStart"/>
            <w:r>
              <w:t>Медиа</w:t>
            </w:r>
            <w:proofErr w:type="spellEnd"/>
            <w:r>
              <w:t>–планирование как основа достижения максимальной эффективности системы ИМК.</w:t>
            </w:r>
          </w:p>
          <w:p w:rsidR="008E4132" w:rsidRPr="00F93900" w:rsidRDefault="007A73F7" w:rsidP="007A73F7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t xml:space="preserve"> Методы определения эффективности рекламной кампании</w:t>
            </w:r>
          </w:p>
        </w:tc>
      </w:tr>
    </w:tbl>
    <w:p w:rsidR="008E4132" w:rsidRDefault="008E4132" w:rsidP="008E4132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8E4132" w:rsidRDefault="008E4132" w:rsidP="008E4132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8E4132" w:rsidRPr="0004716C" w:rsidTr="00B12D04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E4132" w:rsidRPr="0004716C" w:rsidRDefault="008E4132" w:rsidP="00B12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E4132" w:rsidRPr="0004716C" w:rsidRDefault="008E4132" w:rsidP="00B12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E4132" w:rsidRPr="0004716C" w:rsidRDefault="008E4132" w:rsidP="00B12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E4132" w:rsidRPr="009C78F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E4132" w:rsidRPr="003D6C0E" w:rsidRDefault="008E4132" w:rsidP="00B12D04">
            <w:r>
              <w:t>ПК-2</w:t>
            </w:r>
            <w:r w:rsidRPr="003D6C0E">
              <w:t>:</w:t>
            </w:r>
          </w:p>
          <w:p w:rsidR="008E4132" w:rsidRPr="003D6C0E" w:rsidRDefault="008E4132" w:rsidP="00B12D04">
            <w:r>
              <w:t>ИД-ПК-2</w:t>
            </w:r>
            <w:r w:rsidRPr="003D6C0E">
              <w:t>.1</w:t>
            </w:r>
          </w:p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  <w:r>
              <w:t>ИД-ПК-2</w:t>
            </w:r>
            <w:r w:rsidRPr="003D6C0E">
              <w:t>.</w:t>
            </w:r>
            <w:r>
              <w:t>2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высокий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повышенный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базовый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Ограниченно 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низкий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8E4132" w:rsidRPr="00D10531" w:rsidRDefault="008E4132" w:rsidP="00B12D04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 xml:space="preserve">и </w:t>
            </w:r>
            <w:proofErr w:type="spellStart"/>
            <w:r>
              <w:rPr>
                <w:iCs/>
                <w:sz w:val="21"/>
                <w:szCs w:val="21"/>
              </w:rPr>
              <w:t>ПР-</w:t>
            </w:r>
            <w:r w:rsidRPr="00D10531">
              <w:rPr>
                <w:iCs/>
                <w:sz w:val="21"/>
                <w:szCs w:val="21"/>
              </w:rPr>
              <w:t>деятельности</w:t>
            </w:r>
            <w:proofErr w:type="spellEnd"/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назвать основные рекламные и </w:t>
            </w:r>
            <w:proofErr w:type="spellStart"/>
            <w:r>
              <w:rPr>
                <w:iCs/>
                <w:sz w:val="21"/>
                <w:szCs w:val="21"/>
              </w:rPr>
              <w:t>ПР-средства</w:t>
            </w:r>
            <w:proofErr w:type="spellEnd"/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8E4132" w:rsidRPr="00590FE2" w:rsidRDefault="008E4132" w:rsidP="00B12D0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E4132" w:rsidRDefault="008E4132" w:rsidP="008E4132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8E4132">
        <w:rPr>
          <w:rFonts w:eastAsia="Times New Roman"/>
          <w:bCs/>
          <w:sz w:val="24"/>
          <w:szCs w:val="24"/>
        </w:rPr>
        <w:t>Инновации в рекламе</w:t>
      </w:r>
      <w:r w:rsidR="008E4132" w:rsidRPr="00610D0A">
        <w:rPr>
          <w:sz w:val="24"/>
          <w:szCs w:val="24"/>
        </w:rPr>
        <w:t xml:space="preserve">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8E4132" w:rsidRDefault="008E4132" w:rsidP="008E4132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8E4132" w:rsidTr="00B12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Собеседование 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1. Этапы развития инновационной рекламы. Исторические закономерности развития инноваций в рекламе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2. Виды инновационной рекламы, их особенности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3. Функции инновационной рекламы, ее проявления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4. Формы инновационной рекламы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5. Сущность понятия «инновация», «инновационная реклама»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6. Преимущества и недостатки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с точки зрения рекламодателя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7. Преимущества и недостатки инновационной рекламы с точки зрения потребителей рекламной информации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8. Функции инновационной рекламы. Роль инновационной рекламы в жизнедеятельности человека и общества в целом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9. Функции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</w:t>
            </w:r>
          </w:p>
          <w:p w:rsidR="008E4132" w:rsidRPr="00B535F3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10. Современная концепция инновационной рекламы. Исторические этапы развития концепции 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Самостоятельная работа</w:t>
            </w:r>
          </w:p>
          <w:p w:rsidR="008E4132" w:rsidRPr="007D07D3" w:rsidRDefault="008E4132" w:rsidP="00B12D04">
            <w:pPr>
              <w:ind w:left="42"/>
            </w:pPr>
            <w:r w:rsidRPr="007D07D3">
              <w:t>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Проведите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контент-анализ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отечественных и зарубежных источников по вопросам инноваций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рекламе. Проанализируйте и выделите основные тенденции в развитии современной рекламы.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Результаты представьте в форме выступления на 5-7 минут.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 истории рекламы и PR выделите изобретения, и новшества разных периодов времени, 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когда-то можно было назвать «инновациями». Результаты самостоятельной работы представьте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виде обобщенного рассказа в форме выступления на 7-10 минут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№3</w:t>
            </w:r>
          </w:p>
          <w:p w:rsidR="008E4132" w:rsidRPr="00D0770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Изучите доступные источники по вопросу о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рекламе. Выделите особенности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инновационные составляющие в указанном феномене. Объясните принцип работы данной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платформы. Результаты самостоятельной работы представьте в виде доклада.</w:t>
            </w:r>
          </w:p>
        </w:tc>
      </w:tr>
      <w:tr w:rsidR="008E4132" w:rsidTr="00B12D04">
        <w:trPr>
          <w:trHeight w:val="775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Тестирование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Для научно-технического прогресса в настоящее время характерно: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Отсутствие стратегии развития инновационного менеджмента.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Увеличение  численности молодых ученых.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Внедрение новых технологий.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Однотипность.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Рост объема затрат на науку.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К какой классификации относятся технопарки: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Классификация,  основанная на  структуре управления.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Классификация  производственных площадей.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Равномерная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Типовая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Технологическая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Международными организациями, непосредственно  занимающимися инновационным  менеджментом, являются: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Руководства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Международная организация по стандартизации.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Киотская конференция.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Инновационный фонд.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 xml:space="preserve">Международный документ, в котором содержатся основные понятия, относящиеся    к научным исследованиям и разработкам, их состав и границы методика измерения численности персонала занятого исследованиями и разработками и </w:t>
            </w:r>
            <w:proofErr w:type="spellStart"/>
            <w:proofErr w:type="gramStart"/>
            <w:r w:rsidRPr="00F72D0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72D07">
              <w:rPr>
                <w:sz w:val="24"/>
                <w:szCs w:val="24"/>
              </w:rPr>
              <w:t>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Документы Международной патентной классификации (МПК).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Документы Международной организации по стандартизации (ИСО).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C)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содержится методика сбора данных технологических инновациях: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D</w:t>
            </w:r>
            <w:r w:rsidRPr="00F72D07">
              <w:rPr>
                <w:sz w:val="24"/>
                <w:szCs w:val="24"/>
              </w:rPr>
              <w:t>) Патентные организации.</w:t>
            </w:r>
          </w:p>
          <w:p w:rsidR="008E4132" w:rsidRPr="00C74323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E</w:t>
            </w:r>
            <w:r w:rsidRPr="00F72D07">
              <w:rPr>
                <w:sz w:val="24"/>
                <w:szCs w:val="24"/>
              </w:rPr>
              <w:t>) Киотская конференция.</w:t>
            </w:r>
          </w:p>
        </w:tc>
      </w:tr>
      <w:tr w:rsidR="008E4132" w:rsidTr="00B12D04">
        <w:trPr>
          <w:trHeight w:val="63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Доклад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Древней Греции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Древнего Рима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Изобретения и технологические прорывы в Древнем Китае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развитого Средневековья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Значимые изобретения на Руси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«Смена курса» в рекламе и PR в период</w:t>
            </w:r>
            <w:proofErr w:type="gram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ервой и Второй Мировой войны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Инновации в рекламе в начале 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Этапы развития рекламы в России и в мире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технологической сфере за 19-20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10 Развитие технологий в 21 веке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11 Реклама в 21 веке: инновации и тенденции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12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Креативное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мышление как способ изобретения нового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13 Новейшие подходы к пониманию рекламы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14 Метод 6-шляп для творческого решения проблем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15 Метод фокальных объектов для создания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креативных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идей и проектов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Творческое задание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Разработайте инновационное решение для размещения рекламы одного из следующих товаров: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1 туалетная бумага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2 подушка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анти-стресс</w:t>
            </w:r>
            <w:proofErr w:type="spellEnd"/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3 постельное бельё-раскраска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4 галстук - подушка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5 подсветка для унитаза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6 чашка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7 мыло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8 копилка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С помощью одного из методов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мышления продумайте не стандартные сценарии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рекламы какого-либо объекта (на усмотрение студента)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№3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В рамках повседневной жизни и бытовых дел, выявите то, чего лично Вам не хватает, что доставляет неудобства и что нуждается в совершенствовании. </w:t>
            </w:r>
            <w:proofErr w:type="gramStart"/>
            <w:r w:rsidRPr="00E31B55">
              <w:rPr>
                <w:color w:val="000000"/>
                <w:sz w:val="24"/>
                <w:szCs w:val="24"/>
              </w:rPr>
              <w:t>Продумайте</w:t>
            </w:r>
            <w:proofErr w:type="gramEnd"/>
            <w:r w:rsidRPr="00E31B55">
              <w:rPr>
                <w:color w:val="000000"/>
                <w:sz w:val="24"/>
                <w:szCs w:val="24"/>
              </w:rPr>
              <w:t xml:space="preserve"> как именно можно исправить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выделенные недостатки повседневной жизни. Приведите пример товаров или услуг, которые могли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бы исправить сложившуюся ситуацию. Составьте сценарий рекламного ролика для нового товара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и/или услуги.</w:t>
            </w: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8E4132" w:rsidRDefault="008E4132" w:rsidP="008E4132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8E4132" w:rsidRPr="00FE0227" w:rsidTr="00B12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8E4132" w:rsidRPr="00FE0227" w:rsidTr="00B12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</w:t>
            </w:r>
            <w:r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792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jc w:val="center"/>
            </w:pPr>
            <w:r w:rsidRPr="00D07705">
              <w:t>Тест</w:t>
            </w:r>
          </w:p>
        </w:tc>
        <w:tc>
          <w:tcPr>
            <w:tcW w:w="8080" w:type="dxa"/>
            <w:vMerge w:val="restart"/>
          </w:tcPr>
          <w:p w:rsidR="008E4132" w:rsidRPr="00FE0227" w:rsidRDefault="008E4132" w:rsidP="00B12D04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8E4132" w:rsidRPr="00FE0227" w:rsidRDefault="008E4132" w:rsidP="00B12D04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8E4132" w:rsidRPr="00FE0227" w:rsidRDefault="008E4132" w:rsidP="00B12D04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8E4132" w:rsidRPr="00FE0227" w:rsidRDefault="008E4132" w:rsidP="00B12D04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8E4132" w:rsidRPr="00FE0227" w:rsidRDefault="008E4132" w:rsidP="00B12D04">
            <w:r w:rsidRPr="00FE0227">
              <w:t>Правила оценки всего теста:</w:t>
            </w:r>
          </w:p>
          <w:p w:rsidR="008E4132" w:rsidRPr="00FE0227" w:rsidRDefault="008E4132" w:rsidP="00B12D04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8E4132" w:rsidRPr="00FE0227" w:rsidRDefault="008E4132" w:rsidP="00B12D04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E4132" w:rsidRPr="00FE0227" w:rsidRDefault="008E4132" w:rsidP="00B12D04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65% - 84%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8E4132" w:rsidRPr="00FE0227" w:rsidTr="00B12D04">
        <w:trPr>
          <w:trHeight w:val="1052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40% и менее 40%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</w:t>
            </w:r>
            <w:r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r w:rsidRPr="00B449C1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449C1">
              <w:t>Обучающийся</w:t>
            </w:r>
            <w:proofErr w:type="gramEnd"/>
            <w:r w:rsidRPr="00B449C1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Обучающийся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82735F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E4132" w:rsidRPr="00FE0227" w:rsidRDefault="008E4132" w:rsidP="00B12D04">
            <w:pPr>
              <w:jc w:val="center"/>
            </w:pP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</w:tbl>
    <w:p w:rsidR="008E4132" w:rsidRDefault="008E4132" w:rsidP="008E413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4132" w:rsidTr="00135152">
        <w:trPr>
          <w:trHeight w:val="2839"/>
        </w:trPr>
        <w:tc>
          <w:tcPr>
            <w:tcW w:w="3261" w:type="dxa"/>
          </w:tcPr>
          <w:p w:rsidR="008E4132" w:rsidRPr="00D868A9" w:rsidRDefault="008E4132" w:rsidP="00B12D04">
            <w:pPr>
              <w:jc w:val="both"/>
            </w:pPr>
            <w:r>
              <w:t xml:space="preserve">Зачет – </w:t>
            </w:r>
          </w:p>
          <w:p w:rsidR="008E4132" w:rsidRPr="00D868A9" w:rsidRDefault="008E4132" w:rsidP="00B12D04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Определение и сущность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proofErr w:type="spellEnd"/>
            <w:proofErr w:type="gram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каких блоков состоит модель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цели и задачи можно решать предприятию посредством системы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 какие целевые аудитории могут быть направлены коммуникационные средства?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этапы включает технология разработки системы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Какие, на Ваш взгляд, проблемы относительно коммуникаций следует решать на предприятиях? Приведите примеры.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Информационное обеспечение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Направления исследования потребителей относительно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Методы получения информации.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Требования, предъявляемые к рекламе.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Функции, выполняемые рекламой. Привести конкретные примеры из практической деятельности известного Вам предприятия.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Из каких компонентов должно состоять рекламное обращение?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Указать подходы по размещению рекламы в прессе.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Из каких маркетинговых решений состоит процесс размещения рекламы на телевидении? </w:t>
            </w:r>
          </w:p>
          <w:p w:rsidR="008E4132" w:rsidRPr="00D07705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Дать определения понятия «паблик </w:t>
            </w:r>
            <w:proofErr w:type="spell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рилейшнз</w:t>
            </w:r>
            <w:proofErr w:type="spell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». 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B12D04">
            <w:pPr>
              <w:jc w:val="center"/>
            </w:pPr>
            <w:r w:rsidRPr="00DD0B45">
              <w:t>зачтено</w:t>
            </w:r>
          </w:p>
        </w:tc>
      </w:tr>
      <w:tr w:rsidR="008E4132" w:rsidRPr="00260DAA" w:rsidTr="00B12D04">
        <w:trPr>
          <w:trHeight w:val="1162"/>
        </w:trPr>
        <w:tc>
          <w:tcPr>
            <w:tcW w:w="3828" w:type="dxa"/>
            <w:vMerge/>
          </w:tcPr>
          <w:p w:rsidR="008E4132" w:rsidRPr="00260DAA" w:rsidRDefault="008E4132" w:rsidP="00FC1ACA"/>
        </w:tc>
        <w:tc>
          <w:tcPr>
            <w:tcW w:w="6945" w:type="dxa"/>
          </w:tcPr>
          <w:p w:rsidR="008E4132" w:rsidRPr="00DD0B45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E4132" w:rsidRPr="00260DAA" w:rsidRDefault="008E4132" w:rsidP="00FC1ACA">
            <w:pPr>
              <w:jc w:val="center"/>
            </w:pPr>
          </w:p>
        </w:tc>
        <w:tc>
          <w:tcPr>
            <w:tcW w:w="2056" w:type="dxa"/>
          </w:tcPr>
          <w:p w:rsidR="008E4132" w:rsidRPr="00DD0B45" w:rsidRDefault="008E4132" w:rsidP="00B12D04">
            <w:pPr>
              <w:jc w:val="center"/>
            </w:pPr>
            <w:r w:rsidRPr="00DD0B45">
              <w:t>не зачтено</w:t>
            </w:r>
          </w:p>
        </w:tc>
      </w:tr>
    </w:tbl>
    <w:p w:rsidR="00D868A9" w:rsidRDefault="00D868A9" w:rsidP="00D868A9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E4132" w:rsidRPr="00D034E0" w:rsidTr="00B12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14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творческое</w:t>
            </w:r>
            <w:r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:rsidR="008E4132" w:rsidRDefault="008E4132" w:rsidP="008E4132"/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E4132" w:rsidRPr="001E5106" w:rsidTr="00B1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89091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890913">
              <w:rPr>
                <w:b/>
                <w:lang w:eastAsia="ar-SA"/>
              </w:rPr>
              <w:t>/</w:t>
            </w:r>
            <w:proofErr w:type="spellStart"/>
            <w:r w:rsidRPr="0089091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Авто</w:t>
            </w:r>
            <w:proofErr w:type="gramStart"/>
            <w:r w:rsidRPr="0089091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890913">
              <w:rPr>
                <w:b/>
                <w:bCs/>
                <w:lang w:eastAsia="ar-SA"/>
              </w:rPr>
              <w:t>ы</w:t>
            </w:r>
            <w:proofErr w:type="spellEnd"/>
            <w:r w:rsidRPr="00890913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Год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90913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8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09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Эйнштейн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 xml:space="preserve">Реклама под прикрытием. </w:t>
            </w:r>
            <w:proofErr w:type="spellStart"/>
            <w:r w:rsidRPr="00890913">
              <w:rPr>
                <w:bCs/>
              </w:rPr>
              <w:t>Нативная</w:t>
            </w:r>
            <w:proofErr w:type="spellEnd"/>
            <w:r w:rsidRPr="00890913">
              <w:rPr>
                <w:bCs/>
              </w:rPr>
              <w:t xml:space="preserve"> реклама, </w:t>
            </w:r>
            <w:proofErr w:type="spellStart"/>
            <w:r w:rsidRPr="00890913">
              <w:rPr>
                <w:bCs/>
              </w:rPr>
              <w:t>контент-маркетинг</w:t>
            </w:r>
            <w:proofErr w:type="spellEnd"/>
            <w:r w:rsidRPr="00890913">
              <w:rPr>
                <w:bCs/>
              </w:rPr>
              <w:t xml:space="preserve"> и тайный мир продвижения в интернете.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bCs/>
              </w:rPr>
              <w:t>М.:АльпинаПаблишер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Баранчеев</w:t>
            </w:r>
            <w:proofErr w:type="spellEnd"/>
            <w:r w:rsidRPr="00890913">
              <w:t xml:space="preserve">, 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Управление инновациями в 2 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 xml:space="preserve">учебник для </w:t>
            </w:r>
            <w:proofErr w:type="gramStart"/>
            <w:r w:rsidRPr="00890913">
              <w:t>академического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/C2CCA91E-18BD-4B91-8159-9023C9531E7E.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 Карпова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Инновационный 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учебник для </w:t>
            </w:r>
            <w:proofErr w:type="spellStart"/>
            <w:r w:rsidRPr="00890913">
              <w:t>бакалавриата</w:t>
            </w:r>
            <w:proofErr w:type="spellEnd"/>
            <w:r w:rsidRPr="00890913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М.: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/B5398DC6-3EE7-4E4D-934A-7C4617A36D0A.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Перекалина</w:t>
            </w:r>
            <w:proofErr w:type="spellEnd"/>
            <w:r w:rsidRPr="00890913">
              <w:rPr>
                <w:shd w:val="clear" w:color="auto" w:fill="FFFFFF"/>
              </w:rPr>
              <w:t xml:space="preserve"> Н.С., Казаков С.П., Рожков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Продуктовые и процессные инновации в маркетинге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http://znanium.com/catalog/product/408880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909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909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Макарова Т.В., Ткаченко О.Н., Капустина О.Г.;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Овчинникова</w:t>
            </w:r>
            <w:proofErr w:type="spellEnd"/>
            <w:r w:rsidRPr="00890913">
              <w:rPr>
                <w:shd w:val="clear" w:color="auto" w:fill="FFFFFF"/>
              </w:rPr>
              <w:t xml:space="preserve"> Р.Ю.;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Дизайн в рекламе. Основы графического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290695" w:rsidP="00B12D04">
            <w:pPr>
              <w:shd w:val="clear" w:color="auto" w:fill="FFFFFF"/>
              <w:spacing w:line="300" w:lineRule="atLeast"/>
            </w:pPr>
            <w:hyperlink r:id="rId18" w:history="1">
              <w:r w:rsidR="008E4132" w:rsidRPr="00890913">
                <w:rPr>
                  <w:rStyle w:val="af3"/>
                  <w:shd w:val="clear" w:color="auto" w:fill="FFFFFF"/>
                </w:rPr>
                <w:t>http://znanium.com/catalog/product/872607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Дизайн </w:t>
            </w:r>
            <w:proofErr w:type="gramStart"/>
            <w:r w:rsidRPr="00890913">
              <w:t>новых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медиа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Мясникова</w:t>
            </w:r>
            <w:proofErr w:type="spellEnd"/>
            <w:r w:rsidRPr="00890913"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Практика профессионального </w:t>
            </w:r>
            <w:proofErr w:type="spellStart"/>
            <w:r w:rsidRPr="00890913">
              <w:t>медиаобразования</w:t>
            </w:r>
            <w:proofErr w:type="spellEnd"/>
          </w:p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/DA614B86-FA8C-4A21-9924-6A5AA9D4E89F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276" w:lineRule="auto"/>
              <w:rPr>
                <w:lang w:eastAsia="en-US"/>
              </w:rPr>
            </w:pPr>
            <w:r w:rsidRPr="00890913">
              <w:rPr>
                <w:b/>
                <w:bCs/>
                <w:lang w:eastAsia="en-US"/>
              </w:rPr>
              <w:t>9.3 Методические материалы</w:t>
            </w:r>
            <w:r w:rsidRPr="00890913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8E4132" w:rsidRDefault="008E4132" w:rsidP="008E4132"/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B12D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290695" w:rsidP="00B12D04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0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1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2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4C08F9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3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4C08F9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4C08F9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B12D04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5713AB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4" w:rsidRDefault="00B12D04" w:rsidP="005E3840">
      <w:r>
        <w:separator/>
      </w:r>
    </w:p>
  </w:endnote>
  <w:endnote w:type="continuationSeparator" w:id="0">
    <w:p w:rsidR="00B12D04" w:rsidRDefault="00B12D0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2906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12D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2D04" w:rsidRDefault="00B12D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4" w:rsidRDefault="00B12D04" w:rsidP="005E3840">
      <w:r>
        <w:separator/>
      </w:r>
    </w:p>
  </w:footnote>
  <w:footnote w:type="continuationSeparator" w:id="0">
    <w:p w:rsidR="00B12D04" w:rsidRDefault="00B12D0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12D04" w:rsidRDefault="00290695">
        <w:pPr>
          <w:pStyle w:val="ac"/>
          <w:jc w:val="center"/>
        </w:pPr>
        <w:fldSimple w:instr="PAGE   \* MERGEFORMAT">
          <w:r w:rsidR="004C08F9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12D04" w:rsidRDefault="00290695">
        <w:pPr>
          <w:pStyle w:val="ac"/>
          <w:jc w:val="center"/>
        </w:pPr>
        <w:fldSimple w:instr="PAGE   \* MERGEFORMAT">
          <w:r w:rsidR="004C08F9">
            <w:rPr>
              <w:noProof/>
            </w:rPr>
            <w:t>25</w:t>
          </w:r>
        </w:fldSimple>
      </w:p>
    </w:sdtContent>
  </w:sdt>
  <w:p w:rsidR="00B12D04" w:rsidRDefault="00B12D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12D04" w:rsidRDefault="00290695">
        <w:pPr>
          <w:pStyle w:val="ac"/>
          <w:jc w:val="center"/>
        </w:pPr>
        <w:fldSimple w:instr="PAGE   \* MERGEFORMAT">
          <w:r w:rsidR="004C08F9">
            <w:rPr>
              <w:noProof/>
            </w:rPr>
            <w:t>27</w:t>
          </w:r>
        </w:fldSimple>
      </w:p>
    </w:sdtContent>
  </w:sdt>
  <w:p w:rsidR="00B12D04" w:rsidRDefault="00B12D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785"/>
    <w:multiLevelType w:val="multilevel"/>
    <w:tmpl w:val="DED8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B7140"/>
    <w:multiLevelType w:val="multilevel"/>
    <w:tmpl w:val="D6D2B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E808F4"/>
    <w:multiLevelType w:val="multilevel"/>
    <w:tmpl w:val="408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C4545"/>
    <w:multiLevelType w:val="multilevel"/>
    <w:tmpl w:val="6CC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421D9"/>
    <w:multiLevelType w:val="hybridMultilevel"/>
    <w:tmpl w:val="678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0"/>
  </w:num>
  <w:num w:numId="8">
    <w:abstractNumId w:val="15"/>
  </w:num>
  <w:num w:numId="9">
    <w:abstractNumId w:val="14"/>
  </w:num>
  <w:num w:numId="10">
    <w:abstractNumId w:val="6"/>
  </w:num>
  <w:num w:numId="11">
    <w:abstractNumId w:val="29"/>
  </w:num>
  <w:num w:numId="12">
    <w:abstractNumId w:val="39"/>
  </w:num>
  <w:num w:numId="13">
    <w:abstractNumId w:val="3"/>
  </w:num>
  <w:num w:numId="14">
    <w:abstractNumId w:val="16"/>
  </w:num>
  <w:num w:numId="15">
    <w:abstractNumId w:val="26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7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7"/>
  </w:num>
  <w:num w:numId="26">
    <w:abstractNumId w:val="38"/>
  </w:num>
  <w:num w:numId="27">
    <w:abstractNumId w:val="31"/>
  </w:num>
  <w:num w:numId="28">
    <w:abstractNumId w:val="1"/>
  </w:num>
  <w:num w:numId="29">
    <w:abstractNumId w:val="10"/>
  </w:num>
  <w:num w:numId="30">
    <w:abstractNumId w:val="17"/>
  </w:num>
  <w:num w:numId="31">
    <w:abstractNumId w:val="32"/>
  </w:num>
  <w:num w:numId="32">
    <w:abstractNumId w:val="19"/>
  </w:num>
  <w:num w:numId="33">
    <w:abstractNumId w:val="33"/>
  </w:num>
  <w:num w:numId="34">
    <w:abstractNumId w:val="18"/>
  </w:num>
  <w:num w:numId="35">
    <w:abstractNumId w:val="21"/>
  </w:num>
  <w:num w:numId="36">
    <w:abstractNumId w:val="35"/>
  </w:num>
  <w:num w:numId="37">
    <w:abstractNumId w:val="34"/>
  </w:num>
  <w:num w:numId="38">
    <w:abstractNumId w:val="30"/>
  </w:num>
  <w:num w:numId="39">
    <w:abstractNumId w:val="4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695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8F9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7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0E7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3F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132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4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4749E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8726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A77A-CBEA-455B-9BEF-0843D4C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2022-03-19T11:45:00Z</cp:lastPrinted>
  <dcterms:created xsi:type="dcterms:W3CDTF">2022-04-07T23:39:00Z</dcterms:created>
  <dcterms:modified xsi:type="dcterms:W3CDTF">2022-04-07T23:39:00Z</dcterms:modified>
</cp:coreProperties>
</file>