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4F1341EA" w:rsidR="00D1678A" w:rsidRPr="00D97D6F" w:rsidRDefault="00C85D8C" w:rsidP="008E0752">
            <w:pPr>
              <w:rPr>
                <w:sz w:val="26"/>
                <w:szCs w:val="26"/>
              </w:rPr>
            </w:pPr>
            <w:r>
              <w:rPr>
                <w:sz w:val="26"/>
                <w:szCs w:val="26"/>
              </w:rPr>
              <w:t>код</w:t>
            </w:r>
            <w:r w:rsidR="004040DD">
              <w:rPr>
                <w:sz w:val="26"/>
                <w:szCs w:val="26"/>
              </w:rPr>
              <w:t xml:space="preserve"> </w:t>
            </w:r>
            <w:r w:rsidR="00AA0876">
              <w:rPr>
                <w:sz w:val="26"/>
                <w:szCs w:val="26"/>
              </w:rPr>
              <w:t>43</w:t>
            </w:r>
            <w:r w:rsidR="004040DD">
              <w:rPr>
                <w:sz w:val="26"/>
                <w:szCs w:val="26"/>
              </w:rPr>
              <w:t>.03.0</w:t>
            </w:r>
            <w:r w:rsidR="006139EB">
              <w:rPr>
                <w:sz w:val="26"/>
                <w:szCs w:val="26"/>
              </w:rPr>
              <w:t>1</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00890546" w:rsidR="00D1678A" w:rsidRPr="004040DD" w:rsidRDefault="00AA0876" w:rsidP="00C85D8C">
            <w:pPr>
              <w:rPr>
                <w:iCs/>
                <w:sz w:val="26"/>
                <w:szCs w:val="26"/>
              </w:rPr>
            </w:pPr>
            <w:r>
              <w:rPr>
                <w:iCs/>
                <w:sz w:val="26"/>
                <w:szCs w:val="26"/>
              </w:rPr>
              <w:t>Сервис</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2C115961" w:rsidR="00D1678A" w:rsidRPr="00D97D6F" w:rsidRDefault="00AA0876" w:rsidP="00121E30">
            <w:pPr>
              <w:rPr>
                <w:sz w:val="26"/>
                <w:szCs w:val="26"/>
              </w:rPr>
            </w:pPr>
            <w:r w:rsidRPr="00AA0876">
              <w:rPr>
                <w:sz w:val="26"/>
                <w:szCs w:val="26"/>
              </w:rPr>
              <w:t>Управление сервис-процессами в сфере обслуживания</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E178470" w:rsidR="00D1678A" w:rsidRPr="00430710" w:rsidRDefault="003D4190"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B5DB38E" w:rsidR="00D1678A" w:rsidRPr="00430710" w:rsidRDefault="00D1678A" w:rsidP="008E0752">
            <w:pPr>
              <w:rPr>
                <w:iCs/>
                <w:sz w:val="26"/>
                <w:szCs w:val="26"/>
              </w:rPr>
            </w:pPr>
            <w:r w:rsidRPr="00430710">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AC3042" w14:paraId="699F7848" w14:textId="77777777" w:rsidTr="006A6AB0">
        <w:trPr>
          <w:trHeight w:val="283"/>
        </w:trPr>
        <w:tc>
          <w:tcPr>
            <w:tcW w:w="381" w:type="dxa"/>
            <w:vAlign w:val="center"/>
          </w:tcPr>
          <w:p w14:paraId="503FBA66"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611D4745" w:rsidR="00AA6ADF" w:rsidRPr="00430710" w:rsidRDefault="00430710" w:rsidP="00AA6ADF">
            <w:pPr>
              <w:rPr>
                <w:sz w:val="24"/>
                <w:szCs w:val="24"/>
              </w:rPr>
            </w:pPr>
            <w:r w:rsidRPr="00430710">
              <w:rPr>
                <w:rFonts w:eastAsia="Times New Roman"/>
                <w:sz w:val="24"/>
                <w:szCs w:val="24"/>
              </w:rPr>
              <w:t>Доцент</w:t>
            </w:r>
          </w:p>
        </w:tc>
        <w:tc>
          <w:tcPr>
            <w:tcW w:w="6737" w:type="dxa"/>
            <w:gridSpan w:val="2"/>
            <w:shd w:val="clear" w:color="auto" w:fill="auto"/>
            <w:vAlign w:val="center"/>
          </w:tcPr>
          <w:p w14:paraId="7627A2DA" w14:textId="1B658A6D" w:rsidR="00AA6ADF" w:rsidRPr="00430710" w:rsidRDefault="00430710" w:rsidP="00AA6ADF">
            <w:pPr>
              <w:jc w:val="both"/>
              <w:rPr>
                <w:rFonts w:eastAsia="Times New Roman"/>
                <w:sz w:val="24"/>
                <w:szCs w:val="24"/>
              </w:rPr>
            </w:pPr>
            <w:r w:rsidRPr="00430710">
              <w:rPr>
                <w:rFonts w:eastAsia="Times New Roman"/>
                <w:sz w:val="24"/>
                <w:szCs w:val="24"/>
              </w:rPr>
              <w:t>Штепина Т.В.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1C40F9DB"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изучается в</w:t>
      </w:r>
      <w:r w:rsidR="00AA0876">
        <w:rPr>
          <w:iCs/>
          <w:sz w:val="24"/>
          <w:szCs w:val="24"/>
        </w:rPr>
        <w:t>о</w:t>
      </w:r>
      <w:r w:rsidR="004E4C46" w:rsidRPr="00430710">
        <w:rPr>
          <w:iCs/>
          <w:sz w:val="24"/>
          <w:szCs w:val="24"/>
        </w:rPr>
        <w:t xml:space="preserve"> </w:t>
      </w:r>
      <w:r w:rsidR="00AA0876">
        <w:rPr>
          <w:iCs/>
          <w:sz w:val="24"/>
          <w:szCs w:val="24"/>
        </w:rPr>
        <w:t>втором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1A7FA23F" w:rsidR="009664F2" w:rsidRPr="009664F2" w:rsidRDefault="00AA0876" w:rsidP="009664F2">
            <w:pPr>
              <w:rPr>
                <w:bCs/>
                <w:i/>
                <w:iCs/>
                <w:sz w:val="24"/>
                <w:szCs w:val="24"/>
              </w:rPr>
            </w:pPr>
            <w:r>
              <w:rPr>
                <w:bCs/>
                <w:i/>
                <w:iCs/>
                <w:sz w:val="24"/>
                <w:szCs w:val="24"/>
              </w:rPr>
              <w:t>второй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4181B112" w:rsidR="009F0C47" w:rsidRDefault="00AA0876" w:rsidP="002243A9">
      <w:pPr>
        <w:pStyle w:val="af0"/>
        <w:numPr>
          <w:ilvl w:val="2"/>
          <w:numId w:val="6"/>
        </w:numPr>
        <w:rPr>
          <w:i/>
          <w:sz w:val="24"/>
          <w:szCs w:val="24"/>
        </w:rPr>
      </w:pPr>
      <w:r>
        <w:rPr>
          <w:i/>
          <w:sz w:val="24"/>
          <w:szCs w:val="24"/>
        </w:rPr>
        <w:t>Экономика организаций (предприятий)</w:t>
      </w:r>
      <w:r w:rsidR="009F0C47">
        <w:rPr>
          <w:i/>
          <w:sz w:val="24"/>
          <w:szCs w:val="24"/>
        </w:rPr>
        <w:t>;</w:t>
      </w:r>
    </w:p>
    <w:p w14:paraId="28B8542B" w14:textId="1FAA8198" w:rsidR="006139EB" w:rsidRDefault="00AA0876" w:rsidP="002243A9">
      <w:pPr>
        <w:pStyle w:val="af0"/>
        <w:numPr>
          <w:ilvl w:val="2"/>
          <w:numId w:val="6"/>
        </w:numPr>
        <w:rPr>
          <w:i/>
          <w:sz w:val="24"/>
          <w:szCs w:val="24"/>
        </w:rPr>
      </w:pPr>
      <w:r>
        <w:rPr>
          <w:i/>
          <w:sz w:val="24"/>
          <w:szCs w:val="24"/>
        </w:rPr>
        <w:t>Основы предпринимательской деятельности</w:t>
      </w:r>
      <w:r w:rsidR="006139EB">
        <w:rPr>
          <w:i/>
          <w:sz w:val="24"/>
          <w:szCs w:val="24"/>
        </w:rPr>
        <w:t>;</w:t>
      </w:r>
    </w:p>
    <w:p w14:paraId="369FB7F5" w14:textId="2EDC9820" w:rsidR="009F0C47" w:rsidRPr="009F0C47" w:rsidRDefault="00AA0876" w:rsidP="002243A9">
      <w:pPr>
        <w:pStyle w:val="af0"/>
        <w:numPr>
          <w:ilvl w:val="2"/>
          <w:numId w:val="6"/>
        </w:numPr>
        <w:rPr>
          <w:i/>
          <w:sz w:val="24"/>
          <w:szCs w:val="24"/>
        </w:rPr>
      </w:pPr>
      <w:r>
        <w:rPr>
          <w:i/>
          <w:sz w:val="24"/>
          <w:szCs w:val="24"/>
        </w:rPr>
        <w:t>Планирование действий предприятий сервиса.</w:t>
      </w:r>
    </w:p>
    <w:p w14:paraId="3C9989D8" w14:textId="77777777" w:rsidR="007B449A" w:rsidRPr="009E31B0" w:rsidRDefault="007B449A" w:rsidP="009E31B0">
      <w:pPr>
        <w:rPr>
          <w:i/>
          <w:sz w:val="24"/>
          <w:szCs w:val="24"/>
        </w:rPr>
      </w:pP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AA0876" w:rsidRPr="00F31E81" w14:paraId="12211CE9" w14:textId="77777777" w:rsidTr="00AA0876">
        <w:trPr>
          <w:trHeight w:val="2197"/>
        </w:trPr>
        <w:tc>
          <w:tcPr>
            <w:tcW w:w="2551" w:type="dxa"/>
            <w:vMerge w:val="restart"/>
            <w:tcBorders>
              <w:top w:val="single" w:sz="4" w:space="0" w:color="000000"/>
              <w:left w:val="single" w:sz="4" w:space="0" w:color="000000"/>
              <w:right w:val="single" w:sz="4" w:space="0" w:color="000000"/>
            </w:tcBorders>
          </w:tcPr>
          <w:p w14:paraId="77C16148" w14:textId="77777777" w:rsidR="00AA0876" w:rsidRPr="0084151B" w:rsidRDefault="00AA0876"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AA0876" w:rsidRPr="0084151B" w:rsidRDefault="00AA0876"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14479D3F" w:rsidR="00AA0876" w:rsidRDefault="00AA0876"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727A4A">
              <w:rPr>
                <w:rStyle w:val="fontstyle01"/>
                <w:rFonts w:ascii="Times New Roman" w:hAnsi="Times New Roman"/>
                <w:iCs/>
                <w:sz w:val="22"/>
                <w:szCs w:val="22"/>
              </w:rPr>
              <w:t>2</w:t>
            </w:r>
          </w:p>
          <w:p w14:paraId="7C7986AC" w14:textId="0CA8A55B" w:rsidR="00AA0876" w:rsidRPr="0084151B" w:rsidRDefault="00727A4A" w:rsidP="004B60DB">
            <w:pPr>
              <w:pStyle w:val="af0"/>
              <w:ind w:left="0"/>
              <w:rPr>
                <w:iCs/>
              </w:rPr>
            </w:pPr>
            <w:r w:rsidRPr="00727A4A">
              <w:rPr>
                <w:iCs/>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082" w:type="dxa"/>
            <w:vMerge w:val="restart"/>
            <w:tcBorders>
              <w:top w:val="single" w:sz="4" w:space="0" w:color="000000"/>
              <w:left w:val="single" w:sz="4" w:space="0" w:color="000000"/>
              <w:right w:val="single" w:sz="4" w:space="0" w:color="000000"/>
            </w:tcBorders>
          </w:tcPr>
          <w:p w14:paraId="5D306CAB" w14:textId="77777777"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AA0876" w:rsidRPr="0084151B" w:rsidRDefault="00AA0876"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AA0876" w:rsidRPr="00F31E81" w14:paraId="3F15D1C3" w14:textId="77777777" w:rsidTr="00AA0876">
        <w:trPr>
          <w:trHeight w:val="4666"/>
        </w:trPr>
        <w:tc>
          <w:tcPr>
            <w:tcW w:w="2551" w:type="dxa"/>
            <w:vMerge/>
            <w:tcBorders>
              <w:left w:val="single" w:sz="4" w:space="0" w:color="000000"/>
              <w:bottom w:val="single" w:sz="4" w:space="0" w:color="000000"/>
              <w:right w:val="single" w:sz="4" w:space="0" w:color="000000"/>
            </w:tcBorders>
          </w:tcPr>
          <w:p w14:paraId="07691D9A" w14:textId="77777777" w:rsidR="00AA0876" w:rsidRPr="0084151B" w:rsidRDefault="00AA0876" w:rsidP="00AA0876">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708175E" w14:textId="7504081E" w:rsidR="00AA0876" w:rsidRDefault="00AA0876" w:rsidP="00AA0876">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66A14AE0" w14:textId="38761D4C" w:rsidR="00AA0876" w:rsidRPr="006139EB" w:rsidRDefault="00AA0876" w:rsidP="00AA0876">
            <w:pPr>
              <w:pStyle w:val="af0"/>
              <w:ind w:left="0"/>
              <w:rPr>
                <w:rStyle w:val="fontstyle01"/>
                <w:rFonts w:ascii="Times New Roman" w:hAnsi="Times New Roman"/>
                <w:iCs/>
                <w:sz w:val="22"/>
                <w:szCs w:val="22"/>
              </w:rPr>
            </w:pPr>
            <w:r w:rsidRPr="00AA0876">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tcBorders>
              <w:left w:val="single" w:sz="4" w:space="0" w:color="000000"/>
              <w:bottom w:val="single" w:sz="4" w:space="0" w:color="000000"/>
              <w:right w:val="single" w:sz="4" w:space="0" w:color="000000"/>
            </w:tcBorders>
          </w:tcPr>
          <w:p w14:paraId="54C25A7A" w14:textId="6670FC50" w:rsidR="00AA0876" w:rsidRPr="0084151B" w:rsidRDefault="00AA0876" w:rsidP="00AA0876">
            <w:pPr>
              <w:pStyle w:val="af0"/>
              <w:tabs>
                <w:tab w:val="left" w:pos="317"/>
              </w:tabs>
              <w:ind w:left="34"/>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101BFD" w:rsidRDefault="00560461" w:rsidP="00B6294E">
            <w:pPr>
              <w:rPr>
                <w:iCs/>
              </w:rPr>
            </w:pPr>
            <w:r w:rsidRPr="00101BFD">
              <w:rPr>
                <w:iCs/>
                <w:sz w:val="24"/>
                <w:szCs w:val="24"/>
              </w:rPr>
              <w:t xml:space="preserve">по очной форме обучения – </w:t>
            </w:r>
          </w:p>
        </w:tc>
        <w:tc>
          <w:tcPr>
            <w:tcW w:w="1020" w:type="dxa"/>
            <w:vAlign w:val="center"/>
          </w:tcPr>
          <w:p w14:paraId="70E86A27" w14:textId="5D0F1ABC" w:rsidR="00560461" w:rsidRPr="0084151B" w:rsidRDefault="00727A4A" w:rsidP="00B6294E">
            <w:pPr>
              <w:jc w:val="center"/>
              <w:rPr>
                <w:iCs/>
              </w:rPr>
            </w:pPr>
            <w:r>
              <w:rPr>
                <w:iCs/>
              </w:rPr>
              <w:t>5</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03FFFD57" w:rsidR="00560461" w:rsidRPr="00101BFD" w:rsidRDefault="00727A4A" w:rsidP="00B6294E">
            <w:pPr>
              <w:jc w:val="center"/>
              <w:rPr>
                <w:iCs/>
              </w:rPr>
            </w:pPr>
            <w:r>
              <w:rPr>
                <w:iCs/>
              </w:rPr>
              <w:t>180</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1B439A1A" w:rsidR="00262427" w:rsidRPr="00B870AA" w:rsidRDefault="00727A4A" w:rsidP="009B399A">
            <w:pPr>
              <w:rPr>
                <w:iCs/>
              </w:rPr>
            </w:pPr>
            <w:r>
              <w:rPr>
                <w:iCs/>
              </w:rPr>
              <w:t>2</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6E173824" w:rsidR="00262427" w:rsidRPr="00B870AA" w:rsidRDefault="00727A4A" w:rsidP="009B399A">
            <w:pPr>
              <w:ind w:left="28"/>
              <w:jc w:val="center"/>
              <w:rPr>
                <w:iCs/>
              </w:rPr>
            </w:pPr>
            <w:r>
              <w:rPr>
                <w:iCs/>
              </w:rPr>
              <w:t>180</w:t>
            </w:r>
          </w:p>
        </w:tc>
        <w:tc>
          <w:tcPr>
            <w:tcW w:w="834" w:type="dxa"/>
            <w:shd w:val="clear" w:color="auto" w:fill="auto"/>
          </w:tcPr>
          <w:p w14:paraId="63C4BF4D" w14:textId="53BFF6BB" w:rsidR="00262427" w:rsidRPr="00B870AA" w:rsidRDefault="00727A4A" w:rsidP="009B399A">
            <w:pPr>
              <w:ind w:left="28"/>
              <w:jc w:val="center"/>
              <w:rPr>
                <w:iCs/>
              </w:rPr>
            </w:pPr>
            <w:r>
              <w:rPr>
                <w:iCs/>
              </w:rPr>
              <w:t>36</w:t>
            </w:r>
          </w:p>
        </w:tc>
        <w:tc>
          <w:tcPr>
            <w:tcW w:w="834" w:type="dxa"/>
            <w:shd w:val="clear" w:color="auto" w:fill="auto"/>
          </w:tcPr>
          <w:p w14:paraId="0DEBCFE2" w14:textId="03C53A2B" w:rsidR="00262427" w:rsidRPr="00B870AA" w:rsidRDefault="00727A4A" w:rsidP="009B399A">
            <w:pPr>
              <w:ind w:left="28"/>
              <w:jc w:val="center"/>
              <w:rPr>
                <w:iCs/>
              </w:rPr>
            </w:pPr>
            <w:r>
              <w:rPr>
                <w:iCs/>
              </w:rPr>
              <w:t>36</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0C512199" w:rsidR="00262427" w:rsidRPr="00B870AA" w:rsidRDefault="00727A4A" w:rsidP="009B399A">
            <w:pPr>
              <w:ind w:left="28"/>
              <w:jc w:val="center"/>
              <w:rPr>
                <w:iCs/>
              </w:rPr>
            </w:pPr>
            <w:r>
              <w:rPr>
                <w:iCs/>
              </w:rPr>
              <w:t>72</w:t>
            </w:r>
          </w:p>
        </w:tc>
        <w:tc>
          <w:tcPr>
            <w:tcW w:w="837" w:type="dxa"/>
          </w:tcPr>
          <w:p w14:paraId="10596340" w14:textId="71663098" w:rsidR="00262427" w:rsidRPr="00B870AA" w:rsidRDefault="0068719E" w:rsidP="009B399A">
            <w:pPr>
              <w:ind w:left="28"/>
              <w:jc w:val="center"/>
              <w:rPr>
                <w:iCs/>
              </w:rPr>
            </w:pPr>
            <w:r>
              <w:rPr>
                <w:iCs/>
              </w:rPr>
              <w:t>36</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224CDF20" w:rsidR="00262427" w:rsidRPr="00B870AA" w:rsidRDefault="00727A4A" w:rsidP="009B399A">
            <w:pPr>
              <w:ind w:left="28"/>
              <w:jc w:val="center"/>
              <w:rPr>
                <w:iCs/>
              </w:rPr>
            </w:pPr>
            <w:r>
              <w:rPr>
                <w:iCs/>
              </w:rPr>
              <w:t>180</w:t>
            </w:r>
          </w:p>
        </w:tc>
        <w:tc>
          <w:tcPr>
            <w:tcW w:w="834" w:type="dxa"/>
            <w:shd w:val="clear" w:color="auto" w:fill="auto"/>
          </w:tcPr>
          <w:p w14:paraId="6A80F3B9" w14:textId="06C4BB9C" w:rsidR="00262427" w:rsidRPr="00B870AA" w:rsidRDefault="00727A4A" w:rsidP="009B399A">
            <w:pPr>
              <w:ind w:left="28"/>
              <w:jc w:val="center"/>
              <w:rPr>
                <w:iCs/>
              </w:rPr>
            </w:pPr>
            <w:r>
              <w:rPr>
                <w:iCs/>
              </w:rPr>
              <w:t>36</w:t>
            </w:r>
          </w:p>
        </w:tc>
        <w:tc>
          <w:tcPr>
            <w:tcW w:w="834" w:type="dxa"/>
            <w:shd w:val="clear" w:color="auto" w:fill="auto"/>
          </w:tcPr>
          <w:p w14:paraId="7012FB16" w14:textId="55FF1BDA" w:rsidR="00262427" w:rsidRPr="00B870AA" w:rsidRDefault="00727A4A" w:rsidP="009B399A">
            <w:pPr>
              <w:ind w:left="28"/>
              <w:jc w:val="center"/>
              <w:rPr>
                <w:iCs/>
              </w:rPr>
            </w:pPr>
            <w:r>
              <w:rPr>
                <w:iCs/>
              </w:rPr>
              <w:t>36</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4B533898" w:rsidR="00262427" w:rsidRPr="00B870AA" w:rsidRDefault="00727A4A" w:rsidP="009B399A">
            <w:pPr>
              <w:ind w:left="28"/>
              <w:jc w:val="center"/>
              <w:rPr>
                <w:iCs/>
              </w:rPr>
            </w:pPr>
            <w:r>
              <w:rPr>
                <w:iCs/>
              </w:rPr>
              <w:t>72</w:t>
            </w:r>
          </w:p>
        </w:tc>
        <w:tc>
          <w:tcPr>
            <w:tcW w:w="837" w:type="dxa"/>
          </w:tcPr>
          <w:p w14:paraId="728E340E" w14:textId="2BDBB24A" w:rsidR="00262427" w:rsidRPr="00B870AA" w:rsidRDefault="0068719E" w:rsidP="009B399A">
            <w:pPr>
              <w:ind w:left="28"/>
              <w:jc w:val="center"/>
              <w:rPr>
                <w:iCs/>
              </w:rPr>
            </w:pPr>
            <w:r>
              <w:rPr>
                <w:iCs/>
              </w:rPr>
              <w:t>36</w:t>
            </w:r>
          </w:p>
        </w:tc>
      </w:tr>
    </w:tbl>
    <w:p w14:paraId="03A97BE7" w14:textId="77777777" w:rsidR="005776C0" w:rsidRPr="006113AA" w:rsidRDefault="005776C0" w:rsidP="00E4048B">
      <w:pPr>
        <w:pStyle w:val="af0"/>
        <w:numPr>
          <w:ilvl w:val="3"/>
          <w:numId w:val="9"/>
        </w:numPr>
        <w:jc w:val="both"/>
        <w:rPr>
          <w:i/>
        </w:rPr>
      </w:pPr>
    </w:p>
    <w:p w14:paraId="6A7EF89D" w14:textId="77777777" w:rsidR="007D022C" w:rsidRPr="007D022C" w:rsidRDefault="007D022C" w:rsidP="007D022C">
      <w:pPr>
        <w:jc w:val="both"/>
        <w:rPr>
          <w:iCs/>
        </w:rPr>
      </w:pPr>
      <w:r w:rsidRPr="007D022C">
        <w:rPr>
          <w:iCs/>
        </w:rPr>
        <w:lastRenderedPageBreak/>
        <w:t>3.2.</w:t>
      </w:r>
      <w:r w:rsidRPr="007D022C">
        <w:rPr>
          <w:iCs/>
        </w:rPr>
        <w:tab/>
        <w:t xml:space="preserve">Структура учебной дисциплины/модуля для обучающихся по видам занятий (очно-заочная форма обучения) </w:t>
      </w:r>
    </w:p>
    <w:p w14:paraId="24148850" w14:textId="77777777" w:rsidR="007D022C" w:rsidRPr="007D022C" w:rsidRDefault="007D022C" w:rsidP="007D022C">
      <w:pPr>
        <w:jc w:val="both"/>
        <w:rPr>
          <w:iCs/>
        </w:rPr>
      </w:pPr>
    </w:p>
    <w:p w14:paraId="52F476E1" w14:textId="42BE2068" w:rsidR="00B00330" w:rsidRPr="007D022C" w:rsidRDefault="007D022C" w:rsidP="007D022C">
      <w:pPr>
        <w:jc w:val="both"/>
        <w:rPr>
          <w:iCs/>
        </w:rPr>
      </w:pPr>
      <w:r w:rsidRPr="007D022C">
        <w:rPr>
          <w:iCs/>
        </w:rPr>
        <w:t>3.3.</w:t>
      </w:r>
      <w:r w:rsidRPr="007D022C">
        <w:rPr>
          <w:iCs/>
        </w:rPr>
        <w:tab/>
        <w:t>Структура учебной дисциплины/модуля для обучающихся по видам занятий (заочная форма обучения)</w:t>
      </w:r>
    </w:p>
    <w:p w14:paraId="5E099681" w14:textId="77777777" w:rsidR="007D022C" w:rsidRPr="007D022C" w:rsidRDefault="007D022C" w:rsidP="007D022C">
      <w:pPr>
        <w:jc w:val="both"/>
        <w:rPr>
          <w:iCs/>
        </w:rPr>
      </w:pPr>
    </w:p>
    <w:p w14:paraId="69DE8398" w14:textId="77777777" w:rsidR="007D022C" w:rsidRDefault="007D022C" w:rsidP="007D022C">
      <w:pPr>
        <w:jc w:val="both"/>
        <w:rPr>
          <w:i/>
        </w:rPr>
      </w:pPr>
    </w:p>
    <w:p w14:paraId="670FC990" w14:textId="77777777" w:rsidR="007D022C" w:rsidRDefault="007D022C" w:rsidP="007D022C">
      <w:pPr>
        <w:jc w:val="both"/>
        <w:rPr>
          <w:i/>
        </w:rPr>
      </w:pPr>
    </w:p>
    <w:p w14:paraId="212A7D5F" w14:textId="77777777" w:rsidR="007D022C" w:rsidRDefault="007D022C" w:rsidP="007D022C">
      <w:pPr>
        <w:jc w:val="both"/>
        <w:rPr>
          <w:i/>
        </w:rPr>
      </w:pPr>
    </w:p>
    <w:p w14:paraId="5E96A2FB" w14:textId="63B490F9" w:rsidR="007D022C" w:rsidRPr="007D022C" w:rsidRDefault="007D022C" w:rsidP="007D022C">
      <w:pPr>
        <w:jc w:val="both"/>
        <w:rPr>
          <w:i/>
        </w:rPr>
        <w:sectPr w:rsidR="007D022C" w:rsidRPr="007D022C" w:rsidSect="006113AA">
          <w:headerReference w:type="first" r:id="rId9"/>
          <w:pgSz w:w="11906" w:h="16838" w:code="9"/>
          <w:pgMar w:top="1134" w:right="567" w:bottom="1134" w:left="1701" w:header="709" w:footer="709" w:gutter="0"/>
          <w:pgNumType w:start="1"/>
          <w:cols w:space="708"/>
          <w:docGrid w:linePitch="360"/>
        </w:sectPr>
      </w:pPr>
    </w:p>
    <w:p w14:paraId="59F7FCE9" w14:textId="57885DF0" w:rsidR="004D2D12" w:rsidRPr="007D022C" w:rsidRDefault="004D2D12" w:rsidP="007D022C">
      <w:pPr>
        <w:pStyle w:val="2"/>
        <w:numPr>
          <w:ilvl w:val="1"/>
          <w:numId w:val="29"/>
        </w:numPr>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1ED5919C" w14:textId="77777777" w:rsidR="00727A4A" w:rsidRPr="00727A4A" w:rsidRDefault="00727A4A" w:rsidP="00727A4A">
            <w:pPr>
              <w:pStyle w:val="pboth"/>
              <w:spacing w:before="0" w:beforeAutospacing="0" w:after="0" w:afterAutospacing="0"/>
              <w:rPr>
                <w:sz w:val="22"/>
                <w:szCs w:val="22"/>
              </w:rPr>
            </w:pPr>
            <w:r w:rsidRPr="00727A4A">
              <w:rPr>
                <w:sz w:val="22"/>
                <w:szCs w:val="22"/>
              </w:rPr>
              <w:t>УК-1:</w:t>
            </w:r>
          </w:p>
          <w:p w14:paraId="023FBE3B" w14:textId="77777777" w:rsidR="00727A4A" w:rsidRPr="00727A4A" w:rsidRDefault="00727A4A" w:rsidP="00727A4A">
            <w:pPr>
              <w:pStyle w:val="pboth"/>
              <w:spacing w:before="0" w:beforeAutospacing="0" w:after="0" w:afterAutospacing="0"/>
              <w:rPr>
                <w:sz w:val="22"/>
                <w:szCs w:val="22"/>
              </w:rPr>
            </w:pPr>
            <w:r w:rsidRPr="00727A4A">
              <w:rPr>
                <w:sz w:val="22"/>
                <w:szCs w:val="22"/>
              </w:rPr>
              <w:t>ИД-УК-1.2</w:t>
            </w:r>
          </w:p>
          <w:p w14:paraId="3D2E18B1" w14:textId="62718585" w:rsidR="00441270" w:rsidRPr="00727A4A" w:rsidRDefault="00727A4A" w:rsidP="00727A4A">
            <w:pPr>
              <w:pStyle w:val="pboth"/>
              <w:spacing w:before="0" w:beforeAutospacing="0" w:after="0" w:afterAutospacing="0"/>
            </w:pPr>
            <w:r w:rsidRPr="00727A4A">
              <w:rPr>
                <w:sz w:val="22"/>
                <w:szCs w:val="22"/>
              </w:rPr>
              <w:t>ИД-УК-1.3</w:t>
            </w: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7B3DEE3C" w:rsidR="00441270" w:rsidRPr="009F0C47" w:rsidRDefault="00EE455D" w:rsidP="00B6294E">
            <w:pPr>
              <w:widowControl w:val="0"/>
              <w:tabs>
                <w:tab w:val="left" w:pos="1701"/>
              </w:tabs>
              <w:autoSpaceDE w:val="0"/>
              <w:autoSpaceDN w:val="0"/>
              <w:adjustRightInd w:val="0"/>
              <w:jc w:val="center"/>
            </w:pPr>
            <w:r>
              <w:t>36</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tcPr>
          <w:p w14:paraId="4CA9E225" w14:textId="77777777" w:rsidR="00727A4A" w:rsidRPr="00727A4A" w:rsidRDefault="00727A4A" w:rsidP="00727A4A">
            <w:pPr>
              <w:pStyle w:val="pboth"/>
              <w:spacing w:before="0" w:beforeAutospacing="0" w:after="0" w:afterAutospacing="0"/>
              <w:rPr>
                <w:sz w:val="22"/>
                <w:szCs w:val="22"/>
              </w:rPr>
            </w:pPr>
            <w:r w:rsidRPr="00727A4A">
              <w:rPr>
                <w:sz w:val="22"/>
                <w:szCs w:val="22"/>
              </w:rPr>
              <w:t>УК-1:</w:t>
            </w:r>
          </w:p>
          <w:p w14:paraId="2C557564" w14:textId="77777777" w:rsidR="00727A4A" w:rsidRPr="00727A4A" w:rsidRDefault="00727A4A" w:rsidP="00727A4A">
            <w:pPr>
              <w:pStyle w:val="pboth"/>
              <w:spacing w:before="0" w:beforeAutospacing="0" w:after="0" w:afterAutospacing="0"/>
              <w:rPr>
                <w:sz w:val="22"/>
                <w:szCs w:val="22"/>
              </w:rPr>
            </w:pPr>
            <w:r w:rsidRPr="00727A4A">
              <w:rPr>
                <w:sz w:val="22"/>
                <w:szCs w:val="22"/>
              </w:rPr>
              <w:t>ИД-УК-1.2</w:t>
            </w:r>
          </w:p>
          <w:p w14:paraId="65854FE6" w14:textId="77777777" w:rsidR="00727A4A" w:rsidRPr="00727A4A" w:rsidRDefault="00727A4A" w:rsidP="00727A4A">
            <w:pPr>
              <w:pStyle w:val="pboth"/>
              <w:spacing w:before="0" w:beforeAutospacing="0" w:after="0" w:afterAutospacing="0"/>
            </w:pPr>
            <w:r w:rsidRPr="00727A4A">
              <w:rPr>
                <w:sz w:val="22"/>
                <w:szCs w:val="22"/>
              </w:rPr>
              <w:t>ИД-УК-1.3</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0154CF2D" w:rsidR="003A4853" w:rsidRPr="009F0C47" w:rsidRDefault="00EE455D" w:rsidP="009A6F14">
            <w:pPr>
              <w:widowControl w:val="0"/>
              <w:tabs>
                <w:tab w:val="left" w:pos="1701"/>
              </w:tabs>
              <w:autoSpaceDE w:val="0"/>
              <w:autoSpaceDN w:val="0"/>
              <w:adjustRightInd w:val="0"/>
              <w:jc w:val="center"/>
            </w:pPr>
            <w:r>
              <w:t>36</w:t>
            </w:r>
          </w:p>
        </w:tc>
        <w:tc>
          <w:tcPr>
            <w:tcW w:w="4002" w:type="dxa"/>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127F08F2" w:rsidR="003A4853" w:rsidRPr="009F0C47" w:rsidRDefault="003A4853" w:rsidP="009A6F14">
            <w:pPr>
              <w:widowControl w:val="0"/>
              <w:tabs>
                <w:tab w:val="left" w:pos="1701"/>
              </w:tabs>
              <w:autoSpaceDE w:val="0"/>
              <w:autoSpaceDN w:val="0"/>
              <w:adjustRightInd w:val="0"/>
              <w:jc w:val="center"/>
            </w:pPr>
          </w:p>
        </w:tc>
        <w:tc>
          <w:tcPr>
            <w:tcW w:w="4002" w:type="dxa"/>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2E86E217" w:rsidR="003A4853" w:rsidRPr="009F0C47" w:rsidRDefault="003A4853" w:rsidP="009A6F14">
            <w:pPr>
              <w:widowControl w:val="0"/>
              <w:tabs>
                <w:tab w:val="left" w:pos="1701"/>
              </w:tabs>
              <w:autoSpaceDE w:val="0"/>
              <w:autoSpaceDN w:val="0"/>
              <w:adjustRightInd w:val="0"/>
              <w:jc w:val="center"/>
            </w:pPr>
          </w:p>
        </w:tc>
        <w:tc>
          <w:tcPr>
            <w:tcW w:w="4002" w:type="dxa"/>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lastRenderedPageBreak/>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lastRenderedPageBreak/>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318763B" w14:textId="77777777" w:rsidR="003A4853" w:rsidRPr="009F0C47" w:rsidRDefault="003A4853" w:rsidP="00B6294E">
            <w:pPr>
              <w:widowControl w:val="0"/>
              <w:tabs>
                <w:tab w:val="left" w:pos="1701"/>
              </w:tabs>
              <w:autoSpaceDE w:val="0"/>
              <w:autoSpaceDN w:val="0"/>
              <w:adjustRightInd w:val="0"/>
            </w:pPr>
          </w:p>
        </w:tc>
      </w:tr>
      <w:tr w:rsidR="00EE455D" w:rsidRPr="009F0C47" w14:paraId="0E46A600" w14:textId="77777777" w:rsidTr="00FA2451">
        <w:tc>
          <w:tcPr>
            <w:tcW w:w="1701" w:type="dxa"/>
          </w:tcPr>
          <w:p w14:paraId="356A44B8" w14:textId="77777777" w:rsidR="00EE455D" w:rsidRPr="009F0C47" w:rsidRDefault="00EE455D" w:rsidP="00B6294E">
            <w:pPr>
              <w:widowControl w:val="0"/>
              <w:tabs>
                <w:tab w:val="left" w:pos="1701"/>
              </w:tabs>
              <w:autoSpaceDE w:val="0"/>
              <w:autoSpaceDN w:val="0"/>
              <w:adjustRightInd w:val="0"/>
            </w:pPr>
          </w:p>
        </w:tc>
        <w:tc>
          <w:tcPr>
            <w:tcW w:w="5953" w:type="dxa"/>
          </w:tcPr>
          <w:p w14:paraId="1E21B0F0" w14:textId="47147F6A" w:rsidR="00EE455D" w:rsidRPr="009F0C47" w:rsidRDefault="00EE455D" w:rsidP="00EE455D">
            <w:r w:rsidRPr="009F0C47">
              <w:t>Тема 2.</w:t>
            </w:r>
            <w:r>
              <w:t>7</w:t>
            </w:r>
            <w:r w:rsidRPr="009F0C47">
              <w:t xml:space="preserve"> </w:t>
            </w:r>
          </w:p>
          <w:p w14:paraId="48DB2A33" w14:textId="4EDF903A" w:rsidR="00EE455D" w:rsidRPr="009F0C47" w:rsidRDefault="00EE455D" w:rsidP="00EE455D">
            <w:r>
              <w:t>Проверка гипотез о дисперсиях. Критерий согласия.</w:t>
            </w:r>
          </w:p>
        </w:tc>
        <w:tc>
          <w:tcPr>
            <w:tcW w:w="815" w:type="dxa"/>
          </w:tcPr>
          <w:p w14:paraId="1AEEBAD3" w14:textId="2AF0A349" w:rsidR="00EE455D" w:rsidRDefault="00EE455D" w:rsidP="009A6F14">
            <w:pPr>
              <w:widowControl w:val="0"/>
              <w:tabs>
                <w:tab w:val="left" w:pos="1701"/>
              </w:tabs>
              <w:autoSpaceDE w:val="0"/>
              <w:autoSpaceDN w:val="0"/>
              <w:adjustRightInd w:val="0"/>
              <w:jc w:val="center"/>
            </w:pPr>
            <w:r>
              <w:t>2</w:t>
            </w:r>
          </w:p>
        </w:tc>
        <w:tc>
          <w:tcPr>
            <w:tcW w:w="815" w:type="dxa"/>
          </w:tcPr>
          <w:p w14:paraId="5381F164" w14:textId="77777777" w:rsidR="00EE455D" w:rsidRPr="009F0C47" w:rsidRDefault="00EE455D" w:rsidP="009A6F14">
            <w:pPr>
              <w:widowControl w:val="0"/>
              <w:tabs>
                <w:tab w:val="left" w:pos="1701"/>
              </w:tabs>
              <w:autoSpaceDE w:val="0"/>
              <w:autoSpaceDN w:val="0"/>
              <w:adjustRightInd w:val="0"/>
              <w:jc w:val="center"/>
            </w:pPr>
          </w:p>
        </w:tc>
        <w:tc>
          <w:tcPr>
            <w:tcW w:w="815" w:type="dxa"/>
          </w:tcPr>
          <w:p w14:paraId="3B1660C5" w14:textId="77777777" w:rsidR="00EE455D" w:rsidRPr="009F0C47" w:rsidRDefault="00EE455D" w:rsidP="009A6F14">
            <w:pPr>
              <w:widowControl w:val="0"/>
              <w:tabs>
                <w:tab w:val="left" w:pos="1701"/>
              </w:tabs>
              <w:autoSpaceDE w:val="0"/>
              <w:autoSpaceDN w:val="0"/>
              <w:adjustRightInd w:val="0"/>
              <w:jc w:val="center"/>
            </w:pPr>
          </w:p>
        </w:tc>
        <w:tc>
          <w:tcPr>
            <w:tcW w:w="816" w:type="dxa"/>
          </w:tcPr>
          <w:p w14:paraId="648B3E6E" w14:textId="77777777" w:rsidR="00EE455D" w:rsidRPr="009F0C47" w:rsidRDefault="00EE455D" w:rsidP="009A6F14">
            <w:pPr>
              <w:widowControl w:val="0"/>
              <w:tabs>
                <w:tab w:val="num" w:pos="0"/>
              </w:tabs>
              <w:autoSpaceDE w:val="0"/>
              <w:autoSpaceDN w:val="0"/>
              <w:adjustRightInd w:val="0"/>
              <w:jc w:val="center"/>
              <w:rPr>
                <w:bCs/>
              </w:rPr>
            </w:pPr>
          </w:p>
        </w:tc>
        <w:tc>
          <w:tcPr>
            <w:tcW w:w="821" w:type="dxa"/>
          </w:tcPr>
          <w:p w14:paraId="4CE6EC22" w14:textId="77777777" w:rsidR="00EE455D" w:rsidRPr="009F0C47" w:rsidRDefault="00EE455D" w:rsidP="009A6F14">
            <w:pPr>
              <w:widowControl w:val="0"/>
              <w:tabs>
                <w:tab w:val="left" w:pos="1701"/>
              </w:tabs>
              <w:autoSpaceDE w:val="0"/>
              <w:autoSpaceDN w:val="0"/>
              <w:adjustRightInd w:val="0"/>
              <w:jc w:val="center"/>
            </w:pPr>
          </w:p>
        </w:tc>
        <w:tc>
          <w:tcPr>
            <w:tcW w:w="4002" w:type="dxa"/>
          </w:tcPr>
          <w:p w14:paraId="51FDBCF3" w14:textId="77777777" w:rsidR="00EE455D" w:rsidRPr="009F0C47" w:rsidRDefault="00EE455D" w:rsidP="00B6294E">
            <w:pPr>
              <w:widowControl w:val="0"/>
              <w:tabs>
                <w:tab w:val="left" w:pos="1701"/>
              </w:tabs>
              <w:autoSpaceDE w:val="0"/>
              <w:autoSpaceDN w:val="0"/>
              <w:adjustRightInd w:val="0"/>
            </w:pPr>
          </w:p>
        </w:tc>
      </w:tr>
      <w:tr w:rsidR="003A4853" w:rsidRPr="009F0C47" w14:paraId="1EDBDA9B" w14:textId="77777777" w:rsidTr="00FA2451">
        <w:tc>
          <w:tcPr>
            <w:tcW w:w="1701" w:type="dxa"/>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0ECA14A8" w:rsidR="003A4853" w:rsidRPr="009F0C47" w:rsidRDefault="003A4853" w:rsidP="00AD7767">
            <w:r w:rsidRPr="009F0C47">
              <w:t>Тема 2.</w:t>
            </w:r>
            <w:r w:rsidR="00EE455D">
              <w:t>8</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52061016" w:rsidR="003A4853" w:rsidRPr="009F0C47" w:rsidRDefault="003A4853" w:rsidP="00AD7767">
            <w:r w:rsidRPr="009F0C47">
              <w:t>Тема 2.</w:t>
            </w:r>
            <w:r w:rsidR="00EE455D">
              <w:t>9</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1646C8CE" w:rsidR="003A4853" w:rsidRPr="009F0C47" w:rsidRDefault="003A4853" w:rsidP="00AD7767">
            <w:r w:rsidRPr="009F0C47">
              <w:t>Тема 2.</w:t>
            </w:r>
            <w:r w:rsidR="00EE455D">
              <w:t>10</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7E620C4E" w:rsidR="003A4853" w:rsidRPr="009F0C47" w:rsidRDefault="003A4853" w:rsidP="009A6F14">
            <w:pPr>
              <w:widowControl w:val="0"/>
              <w:tabs>
                <w:tab w:val="left" w:pos="1701"/>
              </w:tabs>
              <w:autoSpaceDE w:val="0"/>
              <w:autoSpaceDN w:val="0"/>
              <w:adjustRightInd w:val="0"/>
              <w:jc w:val="center"/>
            </w:pPr>
          </w:p>
        </w:tc>
        <w:tc>
          <w:tcPr>
            <w:tcW w:w="4002" w:type="dxa"/>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9764504" w14:textId="77777777" w:rsidR="003A4853" w:rsidRPr="009F0C47" w:rsidRDefault="003A4853" w:rsidP="00B6294E">
            <w:pPr>
              <w:widowControl w:val="0"/>
              <w:tabs>
                <w:tab w:val="left" w:pos="1701"/>
              </w:tabs>
              <w:autoSpaceDE w:val="0"/>
              <w:autoSpaceDN w:val="0"/>
              <w:adjustRightInd w:val="0"/>
            </w:pPr>
          </w:p>
        </w:tc>
      </w:tr>
      <w:tr w:rsidR="00EE455D" w:rsidRPr="009F0C47" w14:paraId="160803C0" w14:textId="77777777" w:rsidTr="00FA2451">
        <w:tc>
          <w:tcPr>
            <w:tcW w:w="1701" w:type="dxa"/>
          </w:tcPr>
          <w:p w14:paraId="4A9169C2" w14:textId="77777777" w:rsidR="00EE455D" w:rsidRPr="009F0C47" w:rsidRDefault="00EE455D" w:rsidP="00B6294E">
            <w:pPr>
              <w:widowControl w:val="0"/>
              <w:tabs>
                <w:tab w:val="left" w:pos="1701"/>
              </w:tabs>
              <w:autoSpaceDE w:val="0"/>
              <w:autoSpaceDN w:val="0"/>
              <w:adjustRightInd w:val="0"/>
            </w:pPr>
          </w:p>
        </w:tc>
        <w:tc>
          <w:tcPr>
            <w:tcW w:w="5953" w:type="dxa"/>
          </w:tcPr>
          <w:p w14:paraId="117E3D33" w14:textId="6F84C685" w:rsidR="00EE455D" w:rsidRPr="009F0C47" w:rsidRDefault="00EE455D" w:rsidP="00EE455D">
            <w:r w:rsidRPr="009F0C47">
              <w:t>Практическое занятие № 2.</w:t>
            </w:r>
            <w:r>
              <w:t>7</w:t>
            </w:r>
          </w:p>
          <w:p w14:paraId="4793203A" w14:textId="4C858C57" w:rsidR="00EE455D" w:rsidRPr="009F0C47" w:rsidRDefault="00EE455D" w:rsidP="00EE455D">
            <w:r>
              <w:t>Сравнение двух дисперсий. Сравнение исправленной выборочной и гипотетической генеральной дисперсии. Критерий согласия</w:t>
            </w:r>
          </w:p>
        </w:tc>
        <w:tc>
          <w:tcPr>
            <w:tcW w:w="815" w:type="dxa"/>
          </w:tcPr>
          <w:p w14:paraId="7248285C" w14:textId="77777777" w:rsidR="00EE455D" w:rsidRPr="009F0C47" w:rsidRDefault="00EE455D" w:rsidP="009A6F14">
            <w:pPr>
              <w:widowControl w:val="0"/>
              <w:tabs>
                <w:tab w:val="left" w:pos="1701"/>
              </w:tabs>
              <w:autoSpaceDE w:val="0"/>
              <w:autoSpaceDN w:val="0"/>
              <w:adjustRightInd w:val="0"/>
              <w:jc w:val="center"/>
            </w:pPr>
          </w:p>
        </w:tc>
        <w:tc>
          <w:tcPr>
            <w:tcW w:w="815" w:type="dxa"/>
          </w:tcPr>
          <w:p w14:paraId="554142B6" w14:textId="51FB2614" w:rsidR="00EE455D" w:rsidRDefault="00EE455D" w:rsidP="009A6F14">
            <w:pPr>
              <w:widowControl w:val="0"/>
              <w:tabs>
                <w:tab w:val="left" w:pos="1701"/>
              </w:tabs>
              <w:autoSpaceDE w:val="0"/>
              <w:autoSpaceDN w:val="0"/>
              <w:adjustRightInd w:val="0"/>
              <w:jc w:val="center"/>
            </w:pPr>
            <w:r>
              <w:t>2</w:t>
            </w:r>
          </w:p>
        </w:tc>
        <w:tc>
          <w:tcPr>
            <w:tcW w:w="815" w:type="dxa"/>
          </w:tcPr>
          <w:p w14:paraId="43A93288" w14:textId="77777777" w:rsidR="00EE455D" w:rsidRPr="009F0C47" w:rsidRDefault="00EE455D" w:rsidP="009A6F14">
            <w:pPr>
              <w:widowControl w:val="0"/>
              <w:tabs>
                <w:tab w:val="left" w:pos="1701"/>
              </w:tabs>
              <w:autoSpaceDE w:val="0"/>
              <w:autoSpaceDN w:val="0"/>
              <w:adjustRightInd w:val="0"/>
              <w:jc w:val="center"/>
            </w:pPr>
          </w:p>
        </w:tc>
        <w:tc>
          <w:tcPr>
            <w:tcW w:w="816" w:type="dxa"/>
          </w:tcPr>
          <w:p w14:paraId="4D047342" w14:textId="77777777" w:rsidR="00EE455D" w:rsidRPr="009F0C47" w:rsidRDefault="00EE455D" w:rsidP="009A6F14">
            <w:pPr>
              <w:widowControl w:val="0"/>
              <w:tabs>
                <w:tab w:val="num" w:pos="0"/>
              </w:tabs>
              <w:autoSpaceDE w:val="0"/>
              <w:autoSpaceDN w:val="0"/>
              <w:adjustRightInd w:val="0"/>
              <w:jc w:val="center"/>
              <w:rPr>
                <w:bCs/>
              </w:rPr>
            </w:pPr>
          </w:p>
        </w:tc>
        <w:tc>
          <w:tcPr>
            <w:tcW w:w="821" w:type="dxa"/>
          </w:tcPr>
          <w:p w14:paraId="3EC67B60" w14:textId="77777777" w:rsidR="00EE455D" w:rsidRPr="009F0C47" w:rsidRDefault="00EE455D" w:rsidP="009A6F14">
            <w:pPr>
              <w:widowControl w:val="0"/>
              <w:tabs>
                <w:tab w:val="left" w:pos="1701"/>
              </w:tabs>
              <w:autoSpaceDE w:val="0"/>
              <w:autoSpaceDN w:val="0"/>
              <w:adjustRightInd w:val="0"/>
              <w:jc w:val="center"/>
            </w:pPr>
          </w:p>
        </w:tc>
        <w:tc>
          <w:tcPr>
            <w:tcW w:w="4002" w:type="dxa"/>
          </w:tcPr>
          <w:p w14:paraId="5F77E7E4" w14:textId="77777777" w:rsidR="00EE455D" w:rsidRPr="009F0C47" w:rsidRDefault="00EE455D" w:rsidP="00B6294E">
            <w:pPr>
              <w:widowControl w:val="0"/>
              <w:tabs>
                <w:tab w:val="left" w:pos="1701"/>
              </w:tabs>
              <w:autoSpaceDE w:val="0"/>
              <w:autoSpaceDN w:val="0"/>
              <w:adjustRightInd w:val="0"/>
            </w:pPr>
          </w:p>
        </w:tc>
      </w:tr>
      <w:tr w:rsidR="003A4853" w:rsidRPr="009F0C47" w14:paraId="425B8CF4" w14:textId="77777777" w:rsidTr="00FA2451">
        <w:tc>
          <w:tcPr>
            <w:tcW w:w="1701" w:type="dxa"/>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25AB3097" w:rsidR="003A4853" w:rsidRPr="009F0C47" w:rsidRDefault="003A4853" w:rsidP="003A4853">
            <w:r w:rsidRPr="009F0C47">
              <w:t>Практическое занятие № 2.</w:t>
            </w:r>
            <w:r w:rsidR="00EE455D">
              <w:t>8</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7D7BC8D0" w:rsidR="003A4853" w:rsidRPr="009F0C47" w:rsidRDefault="003A4853" w:rsidP="003A4853">
            <w:r w:rsidRPr="009F0C47">
              <w:t>Практическое занятие № 2.</w:t>
            </w:r>
            <w:r w:rsidR="00EE455D">
              <w:t>9</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09FD3587" w:rsidR="003A4853" w:rsidRPr="009F0C47" w:rsidRDefault="003A4853" w:rsidP="003A4853">
            <w:r w:rsidRPr="009F0C47">
              <w:t>Практическое занятие № 2.</w:t>
            </w:r>
            <w:r w:rsidR="00EE455D">
              <w:t>10</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75F0E98C" w:rsidR="008A3DD8" w:rsidRPr="009F0C47" w:rsidRDefault="003D636A" w:rsidP="008A3DD8">
            <w:pPr>
              <w:widowControl w:val="0"/>
              <w:tabs>
                <w:tab w:val="left" w:pos="1701"/>
              </w:tabs>
              <w:autoSpaceDE w:val="0"/>
              <w:autoSpaceDN w:val="0"/>
              <w:adjustRightInd w:val="0"/>
              <w:jc w:val="center"/>
            </w:pPr>
            <w:r>
              <w:t>36</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629D3249"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EE455D">
              <w:rPr>
                <w:b/>
              </w:rPr>
              <w:t>второй</w:t>
            </w:r>
            <w:r w:rsidRPr="009F0C47">
              <w:rPr>
                <w:b/>
              </w:rPr>
              <w:t xml:space="preserve"> семестр</w:t>
            </w:r>
          </w:p>
        </w:tc>
        <w:tc>
          <w:tcPr>
            <w:tcW w:w="815" w:type="dxa"/>
          </w:tcPr>
          <w:p w14:paraId="047B36E3" w14:textId="067A9CF1"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05F55FFC" w14:textId="29DD0C4E"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4D70349F" w:rsidR="008A3DD8" w:rsidRPr="009F0C47" w:rsidRDefault="003D4190" w:rsidP="008A3DD8">
            <w:pPr>
              <w:widowControl w:val="0"/>
              <w:tabs>
                <w:tab w:val="left" w:pos="1701"/>
              </w:tabs>
              <w:autoSpaceDE w:val="0"/>
              <w:autoSpaceDN w:val="0"/>
              <w:adjustRightInd w:val="0"/>
              <w:jc w:val="center"/>
              <w:rPr>
                <w:b/>
              </w:rPr>
            </w:pPr>
            <w:r>
              <w:rPr>
                <w:b/>
              </w:rPr>
              <w:t>108</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2806FBD5"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58E37204" w14:textId="4B8616FB"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302DF30A" w:rsidR="008A3DD8" w:rsidRPr="009F0C47" w:rsidRDefault="003D4190" w:rsidP="008A3DD8">
            <w:pPr>
              <w:widowControl w:val="0"/>
              <w:tabs>
                <w:tab w:val="left" w:pos="1701"/>
              </w:tabs>
              <w:autoSpaceDE w:val="0"/>
              <w:autoSpaceDN w:val="0"/>
              <w:adjustRightInd w:val="0"/>
              <w:jc w:val="center"/>
              <w:rPr>
                <w:b/>
              </w:rPr>
            </w:pPr>
            <w:r>
              <w:rPr>
                <w:b/>
              </w:rPr>
              <w:t>108</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7C8D55D5" w:rsidR="00D965B9" w:rsidRDefault="00D965B9" w:rsidP="007D022C">
      <w:pPr>
        <w:jc w:val="both"/>
        <w:rPr>
          <w:i/>
        </w:rPr>
      </w:pPr>
    </w:p>
    <w:p w14:paraId="195839EC" w14:textId="77777777" w:rsidR="007D022C" w:rsidRPr="007D022C" w:rsidRDefault="007D022C" w:rsidP="007D022C">
      <w:pPr>
        <w:jc w:val="both"/>
        <w:rPr>
          <w:iCs/>
        </w:rPr>
      </w:pPr>
      <w:r w:rsidRPr="007D022C">
        <w:rPr>
          <w:iCs/>
        </w:rPr>
        <w:t>3.5.</w:t>
      </w:r>
      <w:r w:rsidRPr="007D022C">
        <w:rPr>
          <w:iCs/>
        </w:rPr>
        <w:tab/>
        <w:t>Структура учебной дисциплины/модуля для обучающихся по разделам и темам дисциплины: (очно-заочная форма обучения)</w:t>
      </w:r>
    </w:p>
    <w:p w14:paraId="68B2C2C3" w14:textId="77777777" w:rsidR="007D022C" w:rsidRPr="007D022C" w:rsidRDefault="007D022C" w:rsidP="007D022C">
      <w:pPr>
        <w:jc w:val="both"/>
        <w:rPr>
          <w:iCs/>
        </w:rPr>
      </w:pPr>
    </w:p>
    <w:p w14:paraId="5522BE32" w14:textId="2CE69D3D" w:rsidR="007D022C" w:rsidRPr="007D022C" w:rsidRDefault="007D022C" w:rsidP="007D022C">
      <w:pPr>
        <w:jc w:val="both"/>
        <w:rPr>
          <w:iCs/>
        </w:rPr>
      </w:pPr>
      <w:r w:rsidRPr="007D022C">
        <w:rPr>
          <w:iCs/>
        </w:rPr>
        <w:t>3.6.</w:t>
      </w:r>
      <w:r w:rsidRPr="007D022C">
        <w:rPr>
          <w:iCs/>
        </w:rPr>
        <w:tab/>
        <w:t>Структура учебной дисциплины/модуля для обучающихся по разделам и темам дисциплины: (заочная форма обучения)</w:t>
      </w:r>
    </w:p>
    <w:p w14:paraId="368FA3BA" w14:textId="5565628C" w:rsidR="007D022C" w:rsidRDefault="007D022C" w:rsidP="007D022C">
      <w:pPr>
        <w:jc w:val="both"/>
        <w:rPr>
          <w:i/>
        </w:rPr>
      </w:pPr>
    </w:p>
    <w:p w14:paraId="2D828ADF" w14:textId="04166A14" w:rsidR="007D022C" w:rsidRDefault="007D022C" w:rsidP="007D022C">
      <w:pPr>
        <w:jc w:val="both"/>
        <w:rPr>
          <w:i/>
        </w:rPr>
      </w:pPr>
    </w:p>
    <w:p w14:paraId="6AF0254E" w14:textId="77777777" w:rsidR="007D022C" w:rsidRPr="007D022C" w:rsidRDefault="007D022C" w:rsidP="007D022C">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FF4075F" w:rsidR="00F60511" w:rsidRPr="00B83080" w:rsidRDefault="00F57450" w:rsidP="007D022C">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D4190" w:rsidRPr="009F0C47" w14:paraId="43BEC057" w14:textId="77777777" w:rsidTr="006E5EA3">
        <w:trPr>
          <w:trHeight w:val="269"/>
        </w:trPr>
        <w:tc>
          <w:tcPr>
            <w:tcW w:w="1135" w:type="dxa"/>
            <w:tcBorders>
              <w:top w:val="single" w:sz="8" w:space="0" w:color="000000"/>
              <w:bottom w:val="single" w:sz="8" w:space="0" w:color="000000"/>
              <w:right w:val="single" w:sz="8" w:space="0" w:color="000000"/>
            </w:tcBorders>
          </w:tcPr>
          <w:p w14:paraId="06FAFAC4" w14:textId="3E2D87D6" w:rsidR="003D4190" w:rsidRPr="009F0C47" w:rsidRDefault="003D4190"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6572EC52" w14:textId="0DF8D265" w:rsidR="003D4190" w:rsidRDefault="003D4190" w:rsidP="00F60511">
            <w:r>
              <w:t>Проверка гипотез о дисперсиях. Критерий согласия.</w:t>
            </w:r>
          </w:p>
        </w:tc>
        <w:tc>
          <w:tcPr>
            <w:tcW w:w="5812" w:type="dxa"/>
            <w:tcBorders>
              <w:top w:val="single" w:sz="8" w:space="0" w:color="000000"/>
              <w:left w:val="single" w:sz="8" w:space="0" w:color="000000"/>
              <w:bottom w:val="single" w:sz="8" w:space="0" w:color="000000"/>
            </w:tcBorders>
          </w:tcPr>
          <w:p w14:paraId="04E0EBB2" w14:textId="68416D2B" w:rsidR="003D4190" w:rsidRDefault="003D4190" w:rsidP="00F60511">
            <w:pPr>
              <w:rPr>
                <w:bCs/>
              </w:rPr>
            </w:pPr>
            <w:r w:rsidRPr="003D4190">
              <w:rPr>
                <w:bCs/>
              </w:rPr>
              <w:t xml:space="preserve">Сравнение двух дисперсий нормальных генеральных совокупностей. Сравнение исправленной выборочной дисперсии с гипотетической генеральной дисперсией нормальной совокупности. Проверка гипотезы о нормальном распределении генеральной совокупности. </w:t>
            </w:r>
            <w:r w:rsidRPr="003D4190">
              <w:rPr>
                <w:bCs/>
              </w:rPr>
              <w:lastRenderedPageBreak/>
              <w:t>Критерий согласия Пирсона.</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4C9285DF" w:rsidR="003A00FF" w:rsidRPr="009F0C47" w:rsidRDefault="003A00FF" w:rsidP="00F60511">
            <w:r w:rsidRPr="009F0C47">
              <w:lastRenderedPageBreak/>
              <w:t>Тема 2.</w:t>
            </w:r>
            <w:r w:rsidR="003D4190">
              <w:t>8</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5DA63102" w:rsidR="003A00FF" w:rsidRPr="009F0C47" w:rsidRDefault="003A00FF" w:rsidP="00F60511">
            <w:r w:rsidRPr="009F0C47">
              <w:t>Тема 2.</w:t>
            </w:r>
            <w:r w:rsidR="003D4190">
              <w:t>9</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Основы корреляционного 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t xml:space="preserve">Диаграмма рассеяния. Порядковая корреляция и 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7562D90F" w:rsidR="003A00FF" w:rsidRPr="009F0C47" w:rsidRDefault="003A00FF" w:rsidP="00F60511">
            <w:r w:rsidRPr="009F0C47">
              <w:t>Тема 2.</w:t>
            </w:r>
            <w:r w:rsidR="003D4190">
              <w:t>10</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27F914B5" w14:textId="0FB60003" w:rsidR="0072202B"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sidR="003D4190">
              <w:rPr>
                <w:rStyle w:val="fontstyle01"/>
                <w:rFonts w:ascii="Times New Roman" w:hAnsi="Times New Roman"/>
                <w:sz w:val="22"/>
                <w:szCs w:val="22"/>
              </w:rPr>
              <w:t>2</w:t>
            </w:r>
          </w:p>
          <w:p w14:paraId="160EBEE0" w14:textId="533A4D56" w:rsidR="003D4190" w:rsidRPr="00AF7261" w:rsidRDefault="003D4190" w:rsidP="003D4190">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Pr>
                <w:rStyle w:val="fontstyle01"/>
                <w:rFonts w:ascii="Times New Roman" w:hAnsi="Times New Roman"/>
                <w:sz w:val="22"/>
                <w:szCs w:val="22"/>
              </w:rPr>
              <w:t>3</w:t>
            </w:r>
          </w:p>
          <w:p w14:paraId="542B23F1" w14:textId="77777777" w:rsidR="003D4190" w:rsidRPr="00AF7261" w:rsidRDefault="003D4190" w:rsidP="0072202B">
            <w:pPr>
              <w:autoSpaceDE w:val="0"/>
              <w:autoSpaceDN w:val="0"/>
              <w:adjustRightInd w:val="0"/>
              <w:rPr>
                <w:rStyle w:val="fontstyle01"/>
                <w:rFonts w:ascii="Times New Roman" w:hAnsi="Times New Roman"/>
                <w:sz w:val="22"/>
                <w:szCs w:val="22"/>
              </w:rPr>
            </w:pP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748B45B0" w14:textId="7EB5B029" w:rsidR="009C36F0" w:rsidRPr="00AF7261" w:rsidRDefault="009C36F0"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2542E5" w:rsidRPr="0072202B" w14:paraId="4A44A122" w14:textId="77777777" w:rsidTr="002542E5">
        <w:trPr>
          <w:trHeight w:val="283"/>
        </w:trPr>
        <w:tc>
          <w:tcPr>
            <w:tcW w:w="2045" w:type="dxa"/>
          </w:tcPr>
          <w:p w14:paraId="102B0B32" w14:textId="77777777" w:rsidR="00590FE2" w:rsidRPr="00AF7261" w:rsidRDefault="00590FE2" w:rsidP="00B36FDD">
            <w:r w:rsidRPr="00AF7261">
              <w:t>высокий</w:t>
            </w:r>
          </w:p>
        </w:tc>
        <w:tc>
          <w:tcPr>
            <w:tcW w:w="1726" w:type="dxa"/>
          </w:tcPr>
          <w:p w14:paraId="5E592D0B" w14:textId="77777777" w:rsidR="00590FE2" w:rsidRPr="00AF7261" w:rsidRDefault="00590FE2" w:rsidP="00B36FDD">
            <w:pPr>
              <w:jc w:val="center"/>
              <w:rPr>
                <w:i/>
                <w:iCs/>
              </w:rPr>
            </w:pPr>
            <w:r w:rsidRPr="00AF7261">
              <w:rPr>
                <w:i/>
                <w:iCs/>
              </w:rPr>
              <w:t>85 – 100</w:t>
            </w:r>
          </w:p>
        </w:tc>
        <w:tc>
          <w:tcPr>
            <w:tcW w:w="2306" w:type="dxa"/>
          </w:tcPr>
          <w:p w14:paraId="1E21DB76" w14:textId="77777777" w:rsidR="00590FE2" w:rsidRPr="00AF7261" w:rsidRDefault="00590FE2" w:rsidP="00B36FDD">
            <w:pPr>
              <w:rPr>
                <w:iCs/>
              </w:rPr>
            </w:pPr>
            <w:r w:rsidRPr="00AF7261">
              <w:rPr>
                <w:iCs/>
              </w:rPr>
              <w:t>отлично/</w:t>
            </w:r>
          </w:p>
          <w:p w14:paraId="13ECF6E4" w14:textId="77777777" w:rsidR="00590FE2" w:rsidRPr="00AF7261" w:rsidRDefault="00590FE2" w:rsidP="00B36FDD">
            <w:pPr>
              <w:rPr>
                <w:iCs/>
              </w:rPr>
            </w:pPr>
            <w:r w:rsidRPr="00AF7261">
              <w:rPr>
                <w:iCs/>
              </w:rPr>
              <w:t>зачтено (отлично)/</w:t>
            </w:r>
          </w:p>
          <w:p w14:paraId="04C84513" w14:textId="77777777" w:rsidR="00590FE2" w:rsidRPr="00AF7261" w:rsidRDefault="00590FE2" w:rsidP="00B36FDD">
            <w:pPr>
              <w:rPr>
                <w:iCs/>
              </w:rPr>
            </w:pPr>
            <w:r w:rsidRPr="00AF7261">
              <w:rPr>
                <w:iCs/>
              </w:rPr>
              <w:t>зачтено</w:t>
            </w:r>
          </w:p>
        </w:tc>
        <w:tc>
          <w:tcPr>
            <w:tcW w:w="3219" w:type="dxa"/>
          </w:tcPr>
          <w:p w14:paraId="120E9EE1" w14:textId="77777777" w:rsidR="00590FE2" w:rsidRPr="00AF7261" w:rsidRDefault="00590FE2" w:rsidP="00B36FDD">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590FE2" w:rsidRPr="00AF7261" w:rsidRDefault="00590FE2" w:rsidP="00B36FDD">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09BD2B5D" w14:textId="0525D473" w:rsidR="00590FE2" w:rsidRPr="00AF7261" w:rsidRDefault="00590FE2" w:rsidP="00E4048B">
            <w:pPr>
              <w:numPr>
                <w:ilvl w:val="0"/>
                <w:numId w:val="13"/>
              </w:numPr>
              <w:tabs>
                <w:tab w:val="left" w:pos="176"/>
                <w:tab w:val="left" w:pos="276"/>
              </w:tabs>
              <w:ind w:left="0" w:firstLine="0"/>
              <w:contextualSpacing/>
              <w:rPr>
                <w:i/>
                <w:iCs/>
                <w:sz w:val="21"/>
                <w:szCs w:val="21"/>
              </w:rPr>
            </w:pPr>
          </w:p>
        </w:tc>
        <w:tc>
          <w:tcPr>
            <w:tcW w:w="3220" w:type="dxa"/>
          </w:tcPr>
          <w:p w14:paraId="39353BD1" w14:textId="77777777" w:rsidR="00590FE2" w:rsidRPr="00AF7261" w:rsidRDefault="00590FE2" w:rsidP="00B36FDD">
            <w:pPr>
              <w:rPr>
                <w:sz w:val="21"/>
                <w:szCs w:val="21"/>
              </w:rPr>
            </w:pPr>
          </w:p>
        </w:tc>
      </w:tr>
      <w:tr w:rsidR="002542E5" w:rsidRPr="0072202B" w14:paraId="4EA520C7" w14:textId="77777777" w:rsidTr="002542E5">
        <w:trPr>
          <w:trHeight w:val="283"/>
        </w:trPr>
        <w:tc>
          <w:tcPr>
            <w:tcW w:w="2045" w:type="dxa"/>
          </w:tcPr>
          <w:p w14:paraId="45E677E2" w14:textId="076A08C3" w:rsidR="00590FE2" w:rsidRPr="00AF7261" w:rsidRDefault="00590FE2" w:rsidP="00B36FDD">
            <w:r w:rsidRPr="00AF7261">
              <w:t>повышенный</w:t>
            </w:r>
          </w:p>
        </w:tc>
        <w:tc>
          <w:tcPr>
            <w:tcW w:w="1726" w:type="dxa"/>
          </w:tcPr>
          <w:p w14:paraId="3591ED79" w14:textId="77777777" w:rsidR="00590FE2" w:rsidRPr="00AF7261" w:rsidRDefault="00590FE2" w:rsidP="00B36FDD">
            <w:pPr>
              <w:jc w:val="center"/>
              <w:rPr>
                <w:iCs/>
              </w:rPr>
            </w:pPr>
            <w:r w:rsidRPr="00AF7261">
              <w:rPr>
                <w:i/>
              </w:rPr>
              <w:t>65 – 84</w:t>
            </w:r>
          </w:p>
        </w:tc>
        <w:tc>
          <w:tcPr>
            <w:tcW w:w="2306" w:type="dxa"/>
          </w:tcPr>
          <w:p w14:paraId="3A5002AA" w14:textId="77777777" w:rsidR="00590FE2" w:rsidRPr="00AF7261" w:rsidRDefault="00590FE2" w:rsidP="00B36FDD">
            <w:pPr>
              <w:rPr>
                <w:iCs/>
              </w:rPr>
            </w:pPr>
            <w:r w:rsidRPr="00AF7261">
              <w:rPr>
                <w:iCs/>
              </w:rPr>
              <w:t>хорошо/</w:t>
            </w:r>
          </w:p>
          <w:p w14:paraId="2A830714" w14:textId="77777777" w:rsidR="00590FE2" w:rsidRPr="00AF7261" w:rsidRDefault="00590FE2" w:rsidP="00B36FDD">
            <w:pPr>
              <w:rPr>
                <w:iCs/>
              </w:rPr>
            </w:pPr>
            <w:r w:rsidRPr="00AF7261">
              <w:rPr>
                <w:iCs/>
              </w:rPr>
              <w:t>зачтено (хорошо)/</w:t>
            </w:r>
          </w:p>
          <w:p w14:paraId="7FB36380" w14:textId="77777777" w:rsidR="00590FE2" w:rsidRPr="00AF7261" w:rsidRDefault="00590FE2" w:rsidP="00B36FDD">
            <w:pPr>
              <w:rPr>
                <w:iCs/>
              </w:rPr>
            </w:pPr>
            <w:r w:rsidRPr="00AF7261">
              <w:rPr>
                <w:iCs/>
              </w:rPr>
              <w:t>зачтено</w:t>
            </w:r>
          </w:p>
        </w:tc>
        <w:tc>
          <w:tcPr>
            <w:tcW w:w="3219" w:type="dxa"/>
          </w:tcPr>
          <w:p w14:paraId="1FFD3284" w14:textId="61E5A5C7" w:rsidR="00590FE2" w:rsidRPr="00AF7261" w:rsidRDefault="00590FE2" w:rsidP="00B36FDD">
            <w:pPr>
              <w:rPr>
                <w:i/>
                <w:iCs/>
                <w:sz w:val="21"/>
                <w:szCs w:val="21"/>
              </w:rPr>
            </w:pPr>
            <w:r w:rsidRPr="00AF7261">
              <w:rPr>
                <w:i/>
                <w:iCs/>
                <w:sz w:val="21"/>
                <w:szCs w:val="21"/>
              </w:rPr>
              <w:t>Обучающийся:</w:t>
            </w:r>
          </w:p>
          <w:p w14:paraId="4F87C619"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1753E7DE" w:rsidR="00590FE2" w:rsidRPr="00AF7261" w:rsidRDefault="00590FE2" w:rsidP="00E4048B">
            <w:pPr>
              <w:numPr>
                <w:ilvl w:val="0"/>
                <w:numId w:val="13"/>
              </w:numPr>
              <w:tabs>
                <w:tab w:val="left" w:pos="276"/>
              </w:tabs>
              <w:ind w:left="0" w:firstLine="0"/>
              <w:contextualSpacing/>
              <w:rPr>
                <w:i/>
                <w:iCs/>
                <w:sz w:val="21"/>
                <w:szCs w:val="21"/>
              </w:rPr>
            </w:pPr>
          </w:p>
        </w:tc>
        <w:tc>
          <w:tcPr>
            <w:tcW w:w="3220" w:type="dxa"/>
          </w:tcPr>
          <w:p w14:paraId="5043A887" w14:textId="77777777" w:rsidR="00590FE2" w:rsidRPr="00AF7261" w:rsidRDefault="00590FE2" w:rsidP="00B36FDD">
            <w:pPr>
              <w:tabs>
                <w:tab w:val="left" w:pos="313"/>
              </w:tabs>
              <w:contextualSpacing/>
              <w:rPr>
                <w:i/>
                <w:iCs/>
                <w:sz w:val="21"/>
                <w:szCs w:val="21"/>
              </w:rPr>
            </w:pPr>
            <w:r w:rsidRPr="00AF7261">
              <w:rPr>
                <w:i/>
                <w:iCs/>
                <w:sz w:val="21"/>
                <w:szCs w:val="21"/>
              </w:rPr>
              <w:t xml:space="preserve"> </w:t>
            </w:r>
          </w:p>
        </w:tc>
      </w:tr>
      <w:tr w:rsidR="002542E5" w:rsidRPr="0072202B" w14:paraId="4F654C17" w14:textId="77777777" w:rsidTr="002542E5">
        <w:trPr>
          <w:trHeight w:val="283"/>
        </w:trPr>
        <w:tc>
          <w:tcPr>
            <w:tcW w:w="2045" w:type="dxa"/>
          </w:tcPr>
          <w:p w14:paraId="2FE7550D" w14:textId="77777777" w:rsidR="00590FE2" w:rsidRPr="00AF7261" w:rsidRDefault="00590FE2" w:rsidP="00B36FDD">
            <w:r w:rsidRPr="00AF7261">
              <w:t>базовый</w:t>
            </w:r>
          </w:p>
        </w:tc>
        <w:tc>
          <w:tcPr>
            <w:tcW w:w="1726" w:type="dxa"/>
          </w:tcPr>
          <w:p w14:paraId="58B696A2" w14:textId="77777777" w:rsidR="00590FE2" w:rsidRPr="00AF7261" w:rsidRDefault="00590FE2" w:rsidP="00B36FDD">
            <w:pPr>
              <w:jc w:val="center"/>
              <w:rPr>
                <w:iCs/>
              </w:rPr>
            </w:pPr>
            <w:r w:rsidRPr="00AF7261">
              <w:rPr>
                <w:i/>
              </w:rPr>
              <w:t>41 – 64</w:t>
            </w:r>
          </w:p>
        </w:tc>
        <w:tc>
          <w:tcPr>
            <w:tcW w:w="2306" w:type="dxa"/>
          </w:tcPr>
          <w:p w14:paraId="6FBDA68E" w14:textId="77777777" w:rsidR="00590FE2" w:rsidRPr="00AF7261" w:rsidRDefault="00590FE2" w:rsidP="00B36FDD">
            <w:pPr>
              <w:rPr>
                <w:iCs/>
              </w:rPr>
            </w:pPr>
            <w:r w:rsidRPr="00AF7261">
              <w:rPr>
                <w:iCs/>
              </w:rPr>
              <w:t>удовлетворительно/</w:t>
            </w:r>
          </w:p>
          <w:p w14:paraId="59AB9064" w14:textId="77777777" w:rsidR="00590FE2" w:rsidRPr="00AF7261" w:rsidRDefault="00590FE2" w:rsidP="00B36FDD">
            <w:pPr>
              <w:rPr>
                <w:iCs/>
              </w:rPr>
            </w:pPr>
            <w:r w:rsidRPr="00AF7261">
              <w:rPr>
                <w:iCs/>
              </w:rPr>
              <w:t>зачтено (удовлетворительно)/</w:t>
            </w:r>
          </w:p>
          <w:p w14:paraId="25CF4171" w14:textId="77777777" w:rsidR="00590FE2" w:rsidRPr="00AF7261" w:rsidRDefault="00590FE2" w:rsidP="00B36FDD">
            <w:pPr>
              <w:rPr>
                <w:iCs/>
              </w:rPr>
            </w:pPr>
            <w:r w:rsidRPr="00AF7261">
              <w:rPr>
                <w:iCs/>
              </w:rPr>
              <w:lastRenderedPageBreak/>
              <w:t>зачтено</w:t>
            </w:r>
          </w:p>
        </w:tc>
        <w:tc>
          <w:tcPr>
            <w:tcW w:w="3219" w:type="dxa"/>
          </w:tcPr>
          <w:p w14:paraId="1B0E6239" w14:textId="348CD33E" w:rsidR="00590FE2" w:rsidRPr="00AF7261" w:rsidRDefault="00590FE2" w:rsidP="00B36FDD">
            <w:pPr>
              <w:rPr>
                <w:i/>
                <w:iCs/>
                <w:sz w:val="21"/>
                <w:szCs w:val="21"/>
              </w:rPr>
            </w:pPr>
            <w:r w:rsidRPr="00AF7261">
              <w:rPr>
                <w:i/>
                <w:iCs/>
                <w:sz w:val="21"/>
                <w:szCs w:val="21"/>
              </w:rPr>
              <w:lastRenderedPageBreak/>
              <w:t>Обучающийся:</w:t>
            </w:r>
          </w:p>
          <w:p w14:paraId="11DAD3D7"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590FE2" w:rsidRPr="00AF7261" w:rsidRDefault="00590FE2" w:rsidP="00E4048B">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AF7261" w:rsidRDefault="00590FE2" w:rsidP="00E4048B">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08F2E9F2" w:rsidR="00590FE2" w:rsidRPr="00AF7261" w:rsidRDefault="00590FE2" w:rsidP="00277327">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AF7261"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AF7261" w:rsidRDefault="00590FE2" w:rsidP="00B36FDD">
            <w:r w:rsidRPr="00AF7261">
              <w:t>низкий</w:t>
            </w:r>
          </w:p>
        </w:tc>
        <w:tc>
          <w:tcPr>
            <w:tcW w:w="1726" w:type="dxa"/>
          </w:tcPr>
          <w:p w14:paraId="30D821B9" w14:textId="77777777" w:rsidR="00590FE2" w:rsidRPr="00AF7261" w:rsidRDefault="00590FE2" w:rsidP="00B36FDD">
            <w:pPr>
              <w:jc w:val="center"/>
              <w:rPr>
                <w:iCs/>
              </w:rPr>
            </w:pPr>
            <w:r w:rsidRPr="00AF7261">
              <w:rPr>
                <w:i/>
              </w:rPr>
              <w:t>0 – 40</w:t>
            </w:r>
          </w:p>
        </w:tc>
        <w:tc>
          <w:tcPr>
            <w:tcW w:w="2306" w:type="dxa"/>
          </w:tcPr>
          <w:p w14:paraId="6E928182" w14:textId="77777777" w:rsidR="00590FE2" w:rsidRPr="00AF7261" w:rsidRDefault="00590FE2" w:rsidP="00B36FDD">
            <w:pPr>
              <w:rPr>
                <w:iCs/>
              </w:rPr>
            </w:pPr>
            <w:r w:rsidRPr="00AF7261">
              <w:rPr>
                <w:iCs/>
              </w:rPr>
              <w:t>неудовлетворительно/</w:t>
            </w:r>
          </w:p>
          <w:p w14:paraId="057F4720" w14:textId="77777777" w:rsidR="00590FE2" w:rsidRPr="00AF7261" w:rsidRDefault="00590FE2" w:rsidP="00B36FDD">
            <w:pPr>
              <w:rPr>
                <w:iCs/>
              </w:rPr>
            </w:pPr>
            <w:r w:rsidRPr="00AF7261">
              <w:rPr>
                <w:iCs/>
              </w:rPr>
              <w:t>не зачтено</w:t>
            </w:r>
          </w:p>
        </w:tc>
        <w:tc>
          <w:tcPr>
            <w:tcW w:w="9658" w:type="dxa"/>
            <w:gridSpan w:val="3"/>
          </w:tcPr>
          <w:p w14:paraId="7ED84381" w14:textId="014BD63E" w:rsidR="00590FE2" w:rsidRPr="00AF7261" w:rsidRDefault="00590FE2" w:rsidP="00B36FDD">
            <w:pPr>
              <w:rPr>
                <w:i/>
                <w:iCs/>
                <w:sz w:val="21"/>
                <w:szCs w:val="21"/>
              </w:rPr>
            </w:pPr>
            <w:r w:rsidRPr="00AF7261">
              <w:rPr>
                <w:i/>
                <w:iCs/>
                <w:sz w:val="21"/>
                <w:szCs w:val="21"/>
              </w:rPr>
              <w:t>Обучающийся:</w:t>
            </w:r>
          </w:p>
          <w:p w14:paraId="49A2A47F"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590FE2" w:rsidRPr="00AF7261" w:rsidRDefault="00590FE2" w:rsidP="00E4048B">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590FE2" w:rsidRPr="00AF7261" w:rsidRDefault="00590FE2" w:rsidP="00E4048B">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74F7F2DC" w14:textId="49819FDB"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05075616"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05075617"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05075618"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05075619"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05075620"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05075621"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05075622"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05075623"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w:t>
            </w:r>
            <w:r w:rsidRPr="00EB048E">
              <w:rPr>
                <w:lang w:val="ru-RU"/>
              </w:rPr>
              <w:lastRenderedPageBreak/>
              <w:t>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w:t>
            </w:r>
            <w:r w:rsidRPr="00EB048E">
              <w:lastRenderedPageBreak/>
              <w:t>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B33FF85" w:rsidR="00145166" w:rsidRPr="003412C4" w:rsidRDefault="00145166" w:rsidP="00314897">
            <w:pPr>
              <w:suppressAutoHyphens/>
              <w:spacing w:line="100" w:lineRule="atLeast"/>
              <w:rPr>
                <w:lang w:eastAsia="ar-SA"/>
              </w:rPr>
            </w:pP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7E22F5"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86A4" w14:textId="77777777" w:rsidR="007E22F5" w:rsidRDefault="007E22F5" w:rsidP="005E3840">
      <w:r>
        <w:separator/>
      </w:r>
    </w:p>
  </w:endnote>
  <w:endnote w:type="continuationSeparator" w:id="0">
    <w:p w14:paraId="6C8A5583" w14:textId="77777777" w:rsidR="007E22F5" w:rsidRDefault="007E22F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750C" w14:textId="77777777" w:rsidR="007E22F5" w:rsidRDefault="007E22F5" w:rsidP="005E3840">
      <w:r>
        <w:separator/>
      </w:r>
    </w:p>
  </w:footnote>
  <w:footnote w:type="continuationSeparator" w:id="0">
    <w:p w14:paraId="07518333" w14:textId="77777777" w:rsidR="007E22F5" w:rsidRDefault="007E22F5"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10"/>
  </w:num>
  <w:num w:numId="6">
    <w:abstractNumId w:val="25"/>
  </w:num>
  <w:num w:numId="7">
    <w:abstractNumId w:val="28"/>
  </w:num>
  <w:num w:numId="8">
    <w:abstractNumId w:val="24"/>
  </w:num>
  <w:num w:numId="9">
    <w:abstractNumId w:val="15"/>
  </w:num>
  <w:num w:numId="10">
    <w:abstractNumId w:val="6"/>
  </w:num>
  <w:num w:numId="11">
    <w:abstractNumId w:val="22"/>
  </w:num>
  <w:num w:numId="12">
    <w:abstractNumId w:val="27"/>
  </w:num>
  <w:num w:numId="13">
    <w:abstractNumId w:val="8"/>
  </w:num>
  <w:num w:numId="14">
    <w:abstractNumId w:val="17"/>
  </w:num>
  <w:num w:numId="15">
    <w:abstractNumId w:val="4"/>
  </w:num>
  <w:num w:numId="16">
    <w:abstractNumId w:val="16"/>
  </w:num>
  <w:num w:numId="17">
    <w:abstractNumId w:val="21"/>
  </w:num>
  <w:num w:numId="18">
    <w:abstractNumId w:val="7"/>
  </w:num>
  <w:num w:numId="19">
    <w:abstractNumId w:val="9"/>
  </w:num>
  <w:num w:numId="20">
    <w:abstractNumId w:val="11"/>
  </w:num>
  <w:num w:numId="21">
    <w:abstractNumId w:val="14"/>
  </w:num>
  <w:num w:numId="22">
    <w:abstractNumId w:val="12"/>
  </w:num>
  <w:num w:numId="23">
    <w:abstractNumId w:val="18"/>
  </w:num>
  <w:num w:numId="24">
    <w:abstractNumId w:val="2"/>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3"/>
    <w:lvlOverride w:ilvl="0">
      <w:startOverride w:val="3"/>
    </w:lvlOverride>
    <w:lvlOverride w:ilvl="1">
      <w:startOverride w:val="4"/>
    </w:lvlOverride>
  </w:num>
  <w:num w:numId="30">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190"/>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27A4A"/>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2C"/>
    <w:rsid w:val="007D232E"/>
    <w:rsid w:val="007D2876"/>
    <w:rsid w:val="007D4E23"/>
    <w:rsid w:val="007D6C0D"/>
    <w:rsid w:val="007E0B73"/>
    <w:rsid w:val="007E18CB"/>
    <w:rsid w:val="007E1DAD"/>
    <w:rsid w:val="007E22F5"/>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550"/>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0876"/>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3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455D"/>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25</Pages>
  <Words>5089</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Татьяна Штепина</cp:lastModifiedBy>
  <cp:revision>52</cp:revision>
  <cp:lastPrinted>2021-06-03T09:32:00Z</cp:lastPrinted>
  <dcterms:created xsi:type="dcterms:W3CDTF">2021-05-24T15:24:00Z</dcterms:created>
  <dcterms:modified xsi:type="dcterms:W3CDTF">2022-01-30T16:17:00Z</dcterms:modified>
</cp:coreProperties>
</file>