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proofErr w:type="spellStart"/>
      <w:r w:rsidRPr="00F8235F">
        <w:rPr>
          <w:rFonts w:eastAsia="Times New Roman"/>
          <w:sz w:val="24"/>
          <w:szCs w:val="24"/>
        </w:rPr>
        <w:t>Times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New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 xml:space="preserve">,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>
        <w:rPr>
          <w:rFonts w:eastAsia="Times New Roman"/>
          <w:sz w:val="24"/>
          <w:szCs w:val="24"/>
        </w:rPr>
        <w:t xml:space="preserve">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D703D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Классический танец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ED703D" w:rsidRPr="002405CC">
              <w:rPr>
                <w:rFonts w:eastAsia="Times New Roman"/>
                <w:i/>
                <w:sz w:val="24"/>
                <w:szCs w:val="24"/>
              </w:rPr>
              <w:t>Классический танец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ED703D">
        <w:rPr>
          <w:i/>
          <w:sz w:val="24"/>
          <w:szCs w:val="24"/>
        </w:rPr>
        <w:t>Классический танец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D703D">
        <w:rPr>
          <w:i/>
          <w:sz w:val="24"/>
          <w:szCs w:val="24"/>
        </w:rPr>
        <w:t>первом, втором, третьем и четвёртом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D703D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ED703D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ED703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</w:t>
            </w:r>
            <w:r w:rsidR="00A93495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ED703D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ED703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</w:t>
            </w:r>
            <w:r w:rsidR="00A93495">
              <w:rPr>
                <w:bCs/>
                <w:i/>
                <w:iCs/>
                <w:sz w:val="24"/>
                <w:szCs w:val="24"/>
              </w:rPr>
              <w:t>о</w:t>
            </w:r>
            <w:r w:rsidR="007B21C3" w:rsidRPr="007B21C3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  <w:tr w:rsidR="00ED703D" w:rsidTr="007B21C3">
        <w:tc>
          <w:tcPr>
            <w:tcW w:w="2306" w:type="dxa"/>
          </w:tcPr>
          <w:p w:rsidR="00ED703D" w:rsidRPr="00ED703D" w:rsidRDefault="00ED703D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ED703D" w:rsidRPr="009664F2" w:rsidRDefault="00ED703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зачёт</w:t>
            </w:r>
          </w:p>
        </w:tc>
      </w:tr>
      <w:tr w:rsidR="00ED703D" w:rsidTr="007B21C3">
        <w:tc>
          <w:tcPr>
            <w:tcW w:w="2306" w:type="dxa"/>
          </w:tcPr>
          <w:p w:rsidR="00ED703D" w:rsidRPr="00ED703D" w:rsidRDefault="00ED703D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четвёртый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ED703D" w:rsidRPr="009664F2" w:rsidRDefault="00ED703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495E93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</w:t>
      </w:r>
      <w:r w:rsidR="00ED703D">
        <w:rPr>
          <w:i/>
          <w:sz w:val="24"/>
          <w:szCs w:val="24"/>
        </w:rPr>
        <w:t xml:space="preserve"> обязательной</w:t>
      </w:r>
      <w:r w:rsidR="007E18CB" w:rsidRPr="007B449A">
        <w:rPr>
          <w:i/>
          <w:sz w:val="24"/>
          <w:szCs w:val="24"/>
        </w:rPr>
        <w:t xml:space="preserve"> части</w:t>
      </w:r>
      <w:r w:rsidR="00ED703D">
        <w:rPr>
          <w:i/>
          <w:sz w:val="24"/>
          <w:szCs w:val="24"/>
        </w:rPr>
        <w:t xml:space="preserve"> программы. 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Pr="008E6EBF" w:rsidRDefault="00ED703D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</w:t>
      </w:r>
      <w:r w:rsidR="007E18CB" w:rsidRPr="007B449A">
        <w:rPr>
          <w:i/>
          <w:sz w:val="24"/>
          <w:szCs w:val="24"/>
        </w:rPr>
        <w:t>;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классического танца;</w:t>
      </w:r>
    </w:p>
    <w:p w:rsidR="008E6EBF" w:rsidRPr="002405CC" w:rsidRDefault="008E6EBF" w:rsidP="002405CC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современного танца;</w:t>
      </w:r>
    </w:p>
    <w:p w:rsidR="00ED703D" w:rsidRDefault="00ED703D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4C5FA8">
        <w:rPr>
          <w:rFonts w:eastAsia="Times New Roman"/>
          <w:sz w:val="24"/>
          <w:szCs w:val="24"/>
        </w:rPr>
        <w:t>Классический танец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ED703D" w:rsidRPr="00495E93" w:rsidRDefault="00ED703D" w:rsidP="00ED703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95E93">
        <w:rPr>
          <w:i/>
          <w:color w:val="000000"/>
          <w:sz w:val="24"/>
          <w:shd w:val="clear" w:color="auto" w:fill="FFFFFF"/>
        </w:rPr>
        <w:t>развитие танцевально-</w:t>
      </w:r>
      <w:r w:rsidRPr="00495E93">
        <w:rPr>
          <w:i/>
          <w:color w:val="000000"/>
          <w:sz w:val="24"/>
          <w:szCs w:val="24"/>
          <w:shd w:val="clear" w:color="auto" w:fill="FFFFFF"/>
        </w:rPr>
        <w:t>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форм;</w:t>
      </w:r>
    </w:p>
    <w:p w:rsidR="00ED703D" w:rsidRPr="00495E93" w:rsidRDefault="00ED703D" w:rsidP="00ED703D">
      <w:pPr>
        <w:pStyle w:val="af0"/>
        <w:numPr>
          <w:ilvl w:val="2"/>
          <w:numId w:val="6"/>
        </w:numPr>
        <w:jc w:val="both"/>
        <w:rPr>
          <w:rStyle w:val="c2"/>
          <w:i/>
          <w:sz w:val="24"/>
          <w:szCs w:val="24"/>
        </w:rPr>
      </w:pPr>
      <w:r w:rsidRPr="00495E93">
        <w:rPr>
          <w:rStyle w:val="c2"/>
          <w:i/>
          <w:color w:val="000000"/>
          <w:sz w:val="24"/>
          <w:szCs w:val="24"/>
        </w:rPr>
        <w:t>развитие интереса к классическому танцу и хореографическому творчеству;</w:t>
      </w:r>
    </w:p>
    <w:p w:rsidR="00ED703D" w:rsidRPr="00495E93" w:rsidRDefault="00ED703D" w:rsidP="00ED703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95E93">
        <w:rPr>
          <w:rStyle w:val="c2"/>
          <w:i/>
          <w:color w:val="000000"/>
          <w:sz w:val="24"/>
          <w:szCs w:val="24"/>
        </w:rPr>
        <w:t>овладение учащимися основными исполнительскими навыками классического танца, позволяющими грамотно исполнять музыкальные композиции как соло, так и в ансамбле.</w:t>
      </w: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AA6976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</w:t>
            </w:r>
            <w:r w:rsidR="00C87339" w:rsidRPr="00021C2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</w:t>
            </w:r>
          </w:p>
          <w:p w:rsidR="00C87339" w:rsidRPr="00021C27" w:rsidRDefault="00AA6976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6976">
              <w:rPr>
                <w:i/>
                <w:sz w:val="22"/>
                <w:szCs w:val="22"/>
              </w:rPr>
              <w:t>Способен осуществлять творческую деятельность в сфере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AA697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AA697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C87339" w:rsidRPr="004B60DB" w:rsidRDefault="00AA6976" w:rsidP="004B60DB">
            <w:pPr>
              <w:pStyle w:val="af0"/>
              <w:ind w:left="0"/>
              <w:rPr>
                <w:i/>
              </w:rPr>
            </w:pPr>
            <w:r w:rsidRPr="00AA6976">
              <w:rPr>
                <w:i/>
              </w:rPr>
              <w:t>Применение в творческой деятельности теоретических основ и принципов хореографического</w:t>
            </w:r>
            <w:r>
              <w:rPr>
                <w:i/>
              </w:rPr>
              <w:t>,</w:t>
            </w:r>
            <w:r w:rsidRPr="00AA6976">
              <w:rPr>
                <w:i/>
              </w:rPr>
              <w:t xml:space="preserve"> театрального и изобразительного искусства, основ психологии художественного творчества и использование их в практической 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76" w:rsidRDefault="00AA6976" w:rsidP="00AA697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Владеет техникой московской школы классического танца;</w:t>
            </w:r>
          </w:p>
          <w:p w:rsidR="00C87339" w:rsidRPr="00021C27" w:rsidRDefault="00AA6976" w:rsidP="00AA697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rPr>
                <w:i/>
              </w:rPr>
              <w:t>Способен самостоятельно воспроизвести известную классическую вариацию, опираясь на полученные знания</w:t>
            </w: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AA6976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4</w:t>
            </w:r>
          </w:p>
          <w:p w:rsidR="00C87339" w:rsidRPr="00021C27" w:rsidRDefault="00AA6976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6976">
              <w:rPr>
                <w:i/>
                <w:sz w:val="22"/>
                <w:szCs w:val="22"/>
              </w:rPr>
              <w:t>Способен применить методы хореографической педагогики, постановочной и репетиторской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AA697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AA697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AA697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</w:p>
          <w:p w:rsidR="00C87339" w:rsidRPr="00021C27" w:rsidRDefault="00AA6976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A6976">
              <w:rPr>
                <w:i/>
                <w:color w:val="000000"/>
              </w:rPr>
              <w:t>Применение методики преподавания по видам танца, законам построения хореографической композиции.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C87339" w:rsidRPr="00462065" w:rsidRDefault="00AA6976" w:rsidP="00AA697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rPr>
                <w:i/>
              </w:rPr>
              <w:t xml:space="preserve">Способен </w:t>
            </w:r>
            <w:r w:rsidR="00462065">
              <w:rPr>
                <w:i/>
              </w:rPr>
              <w:t>составить собственный экзерсис для урока по классическому танцу;</w:t>
            </w:r>
          </w:p>
          <w:p w:rsidR="00462065" w:rsidRPr="00021C27" w:rsidRDefault="00462065" w:rsidP="00AA697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rPr>
                <w:i/>
              </w:rPr>
              <w:t>Знает, что входит в программу первого года обучения дисциплине.</w:t>
            </w:r>
          </w:p>
        </w:tc>
      </w:tr>
      <w:tr w:rsidR="00C87339" w:rsidRPr="00F31E81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 w:rsidR="00AA6976">
              <w:rPr>
                <w:i/>
                <w:sz w:val="22"/>
                <w:szCs w:val="22"/>
              </w:rPr>
              <w:t>5</w:t>
            </w:r>
          </w:p>
          <w:p w:rsidR="00C87339" w:rsidRPr="00021C27" w:rsidRDefault="00462065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62065">
              <w:rPr>
                <w:rFonts w:eastAsiaTheme="minorHAnsi"/>
                <w:i/>
                <w:color w:val="000000"/>
                <w:lang w:eastAsia="en-US"/>
              </w:rPr>
              <w:t>Способен проводить групповой тренаж, применять различные методики репетиционной работы в хореографических коллективах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 w:rsidR="00AA697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.1 </w:t>
            </w:r>
          </w:p>
          <w:p w:rsidR="00C87339" w:rsidRPr="00021C27" w:rsidRDefault="00462065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62065">
              <w:rPr>
                <w:rFonts w:eastAsiaTheme="minorHAnsi"/>
                <w:i/>
                <w:color w:val="000000"/>
                <w:lang w:eastAsia="en-US"/>
              </w:rPr>
              <w:t>Соблюдение методики построения уроков, структуры экзерсисов.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5C8" w:rsidRPr="00462065" w:rsidRDefault="00462065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Различает специфику работы в профессиональном и любительском коллективах</w:t>
            </w:r>
            <w:r w:rsidR="00D508F1" w:rsidRPr="00021C27">
              <w:rPr>
                <w:i/>
              </w:rPr>
              <w:t>;</w:t>
            </w:r>
          </w:p>
          <w:p w:rsidR="00665E2F" w:rsidRPr="00462065" w:rsidRDefault="00462065" w:rsidP="00462065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Способен провести групповое занятие, опираясь на полученные знания и собственную разработку экзерсиса.</w:t>
            </w:r>
          </w:p>
          <w:p w:rsidR="005365C8" w:rsidRPr="00021C27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ED703D" w:rsidP="00B6294E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ED703D" w:rsidP="00B6294E">
            <w:pPr>
              <w:jc w:val="center"/>
              <w:rPr>
                <w:i/>
              </w:rPr>
            </w:pPr>
            <w:r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ED703D" w:rsidP="009B399A">
            <w:r w:rsidRPr="00ED703D">
              <w:rPr>
                <w:i/>
              </w:rPr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ED703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262427" w:rsidRPr="00B61D4D" w:rsidRDefault="00050B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050B40">
              <w:rPr>
                <w:i/>
              </w:rPr>
              <w:t>9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ED703D" w:rsidRPr="00B02E88" w:rsidTr="0012098B">
        <w:trPr>
          <w:cantSplit/>
          <w:trHeight w:val="227"/>
        </w:trPr>
        <w:tc>
          <w:tcPr>
            <w:tcW w:w="1943" w:type="dxa"/>
          </w:tcPr>
          <w:p w:rsidR="00ED703D" w:rsidRPr="00ED703D" w:rsidRDefault="00ED703D" w:rsidP="009B399A">
            <w:r>
              <w:rPr>
                <w:i/>
              </w:rPr>
              <w:t xml:space="preserve">2 </w:t>
            </w:r>
            <w:r>
              <w:t>семестр</w:t>
            </w:r>
          </w:p>
        </w:tc>
        <w:tc>
          <w:tcPr>
            <w:tcW w:w="1130" w:type="dxa"/>
          </w:tcPr>
          <w:p w:rsidR="00ED703D" w:rsidRPr="00B61D4D" w:rsidRDefault="00ED703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зачёт с оценкой</w:t>
            </w:r>
          </w:p>
        </w:tc>
        <w:tc>
          <w:tcPr>
            <w:tcW w:w="833" w:type="dxa"/>
          </w:tcPr>
          <w:p w:rsidR="00ED703D" w:rsidRDefault="00050B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ED703D" w:rsidRDefault="00ED703D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ED703D" w:rsidRDefault="00050B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ED703D" w:rsidRPr="00B61D4D" w:rsidRDefault="00ED703D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ED703D" w:rsidRPr="00B61D4D" w:rsidRDefault="00ED703D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ED703D" w:rsidRPr="00B61D4D" w:rsidRDefault="00ED703D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ED703D" w:rsidRDefault="00050B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ED703D" w:rsidRPr="00B61D4D" w:rsidRDefault="00ED703D" w:rsidP="009B399A">
            <w:pPr>
              <w:ind w:left="28"/>
              <w:jc w:val="center"/>
            </w:pPr>
          </w:p>
        </w:tc>
      </w:tr>
      <w:tr w:rsidR="00ED703D" w:rsidRPr="00B02E88" w:rsidTr="0012098B">
        <w:trPr>
          <w:cantSplit/>
          <w:trHeight w:val="227"/>
        </w:trPr>
        <w:tc>
          <w:tcPr>
            <w:tcW w:w="1943" w:type="dxa"/>
          </w:tcPr>
          <w:p w:rsidR="00ED703D" w:rsidRPr="00ED703D" w:rsidRDefault="00ED703D" w:rsidP="009B399A">
            <w:r>
              <w:rPr>
                <w:i/>
              </w:rPr>
              <w:t xml:space="preserve">3 </w:t>
            </w:r>
            <w:r>
              <w:t>семестр</w:t>
            </w:r>
          </w:p>
        </w:tc>
        <w:tc>
          <w:tcPr>
            <w:tcW w:w="1130" w:type="dxa"/>
          </w:tcPr>
          <w:p w:rsidR="00ED703D" w:rsidRPr="00B61D4D" w:rsidRDefault="00ED703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зачёт</w:t>
            </w:r>
          </w:p>
        </w:tc>
        <w:tc>
          <w:tcPr>
            <w:tcW w:w="833" w:type="dxa"/>
          </w:tcPr>
          <w:p w:rsidR="00ED703D" w:rsidRDefault="00050B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ED703D" w:rsidRDefault="00050B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ED703D" w:rsidRDefault="00050B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ED703D" w:rsidRPr="00B61D4D" w:rsidRDefault="00ED703D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ED703D" w:rsidRPr="00B61D4D" w:rsidRDefault="00ED703D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ED703D" w:rsidRPr="00B61D4D" w:rsidRDefault="00ED703D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ED703D" w:rsidRDefault="00050B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ED703D" w:rsidRPr="00B61D4D" w:rsidRDefault="00ED703D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ED703D" w:rsidP="009B399A">
            <w:r>
              <w:rPr>
                <w:i/>
              </w:rPr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8C7414" w:rsidRDefault="00ED703D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262427" w:rsidRPr="006C7E94" w:rsidRDefault="00050B40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79114B" w:rsidRPr="00B61D4D">
              <w:rPr>
                <w:i/>
              </w:rPr>
              <w:t>7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050B40" w:rsidP="009B399A">
            <w:pPr>
              <w:ind w:left="28"/>
              <w:jc w:val="center"/>
            </w:pPr>
            <w:r>
              <w:t>432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15026D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50B40" w:rsidP="009B399A">
            <w:pPr>
              <w:ind w:left="28"/>
              <w:jc w:val="center"/>
            </w:pPr>
            <w:r>
              <w:t>136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050B40" w:rsidP="009B399A">
            <w:pPr>
              <w:ind w:left="28"/>
              <w:jc w:val="center"/>
            </w:pPr>
            <w:r>
              <w:t>181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lastRenderedPageBreak/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 xml:space="preserve">развитие мысли, утверждение мысли. </w:t>
            </w:r>
            <w:proofErr w:type="spellStart"/>
            <w:r w:rsidRPr="005C2175">
              <w:rPr>
                <w:i/>
              </w:rPr>
              <w:t>Музыкальнологический</w:t>
            </w:r>
            <w:proofErr w:type="spellEnd"/>
            <w:r w:rsidRPr="005C2175">
              <w:rPr>
                <w:i/>
              </w:rPr>
              <w:t xml:space="preserve">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 xml:space="preserve">изложения: связки, </w:t>
            </w:r>
            <w:proofErr w:type="spellStart"/>
            <w:r w:rsidRPr="005C2175">
              <w:rPr>
                <w:i/>
              </w:rPr>
              <w:t>предыкты</w:t>
            </w:r>
            <w:proofErr w:type="spellEnd"/>
            <w:r w:rsidRPr="005C2175">
              <w:rPr>
                <w:i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 xml:space="preserve">универсальных, </w:t>
            </w:r>
            <w:proofErr w:type="spellStart"/>
            <w:r w:rsidR="00733976">
              <w:rPr>
                <w:i/>
                <w:lang w:val="ru-RU"/>
              </w:rPr>
              <w:t>общепрофкессиональных</w:t>
            </w:r>
            <w:proofErr w:type="spellEnd"/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6136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961364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96136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61364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6136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61364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61364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961364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6136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96136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364" w:rsidRDefault="00961364" w:rsidP="005E3840">
      <w:r>
        <w:separator/>
      </w:r>
    </w:p>
  </w:endnote>
  <w:endnote w:type="continuationSeparator" w:id="0">
    <w:p w:rsidR="00961364" w:rsidRDefault="009613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76" w:rsidRDefault="00AA6976">
    <w:pPr>
      <w:pStyle w:val="ae"/>
      <w:jc w:val="right"/>
    </w:pPr>
  </w:p>
  <w:p w:rsidR="00AA6976" w:rsidRDefault="00AA697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76" w:rsidRDefault="00AA69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A6976" w:rsidRDefault="00AA697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76" w:rsidRDefault="00AA6976">
    <w:pPr>
      <w:pStyle w:val="ae"/>
      <w:jc w:val="right"/>
    </w:pPr>
  </w:p>
  <w:p w:rsidR="00AA6976" w:rsidRDefault="00AA697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76" w:rsidRDefault="00AA6976">
    <w:pPr>
      <w:pStyle w:val="ae"/>
      <w:jc w:val="right"/>
    </w:pPr>
  </w:p>
  <w:p w:rsidR="00AA6976" w:rsidRDefault="00AA697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364" w:rsidRDefault="00961364" w:rsidP="005E3840">
      <w:r>
        <w:separator/>
      </w:r>
    </w:p>
  </w:footnote>
  <w:footnote w:type="continuationSeparator" w:id="0">
    <w:p w:rsidR="00961364" w:rsidRDefault="00961364" w:rsidP="005E3840">
      <w:r>
        <w:continuationSeparator/>
      </w:r>
    </w:p>
  </w:footnote>
  <w:footnote w:id="1">
    <w:p w:rsidR="00AA6976" w:rsidRPr="00036DDC" w:rsidRDefault="00AA6976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AA6976" w:rsidRPr="00036DDC" w:rsidRDefault="00AA6976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AA6976" w:rsidRPr="00BA7BBD" w:rsidRDefault="00AA6976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AA6976" w:rsidRPr="00EE6A25" w:rsidRDefault="00AA6976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AA6976" w:rsidRPr="002B20D1" w:rsidRDefault="00AA6976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AA6976" w:rsidRDefault="00AA6976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AA6976" w:rsidRPr="003D6F18" w:rsidRDefault="00AA6976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AA6976" w:rsidRDefault="00AA6976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AA6976" w:rsidRDefault="00AA6976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AA6976" w:rsidRPr="000B2412" w:rsidRDefault="00AA6976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AA6976" w:rsidRPr="000B2412" w:rsidRDefault="00AA6976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AA6976" w:rsidRPr="000B2412" w:rsidRDefault="00AA6976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AA6976" w:rsidRPr="000B2412" w:rsidRDefault="00AA6976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AA6976" w:rsidRDefault="00AA6976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AA6976" w:rsidRDefault="00AA6976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AA6976" w:rsidRDefault="00AA6976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AA6976" w:rsidRPr="006216E8" w:rsidRDefault="00AA6976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AA6976" w:rsidRPr="00384B34" w:rsidRDefault="00AA6976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AA6976" w:rsidRDefault="00AA6976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AA6976" w:rsidRPr="000F288F" w:rsidRDefault="00AA6976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AA6976" w:rsidRPr="00CF1CB6" w:rsidRDefault="00AA6976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AA6976" w:rsidRPr="007769AC" w:rsidRDefault="00AA6976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AA6976" w:rsidRPr="00905BB9" w:rsidRDefault="00AA6976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AA6976" w:rsidRPr="00045566" w:rsidRDefault="00AA6976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AA6976" w:rsidRPr="001B179C" w:rsidRDefault="00AA6976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AA6976" w:rsidRPr="000170AF" w:rsidRDefault="00AA6976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AA6976" w:rsidRPr="00DC7035" w:rsidRDefault="00AA6976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AA6976" w:rsidRPr="00E617D0" w:rsidRDefault="00AA6976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AA6976" w:rsidRPr="000A4A98" w:rsidRDefault="00AA6976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AA6976" w:rsidRPr="00D07E4A" w:rsidRDefault="00AA6976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AA6976" w:rsidRPr="0084702C" w:rsidRDefault="00AA6976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AA6976" w:rsidRPr="002A2399" w:rsidRDefault="00AA6976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AA6976" w:rsidRPr="00AD50CB" w:rsidRDefault="00AA6976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AA6976" w:rsidRDefault="00AA6976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AA6976" w:rsidRPr="00F61708" w:rsidRDefault="00AA6976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AA6976" w:rsidRPr="009135DE" w:rsidRDefault="00AA6976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AA6976" w:rsidRPr="00D707F5" w:rsidRDefault="00AA6976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AA6976" w:rsidRPr="00D707F5" w:rsidRDefault="00AA6976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AA6976" w:rsidRPr="00F61708" w:rsidRDefault="00AA6976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AA6976" w:rsidRPr="00D03441" w:rsidRDefault="00AA6976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AA6976" w:rsidRDefault="00AA6976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AA6976" w:rsidRPr="00F61708" w:rsidRDefault="00AA6976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AA6976" w:rsidRPr="008B3D5B" w:rsidRDefault="00AA6976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AA6976" w:rsidRPr="008B3D5B" w:rsidRDefault="00AA6976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AA6976" w:rsidRPr="002B1B01" w:rsidRDefault="00AA6976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AA6976" w:rsidRPr="00B07F7C" w:rsidRDefault="00AA6976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AA6976" w:rsidRPr="008B3D5B" w:rsidRDefault="00AA6976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AA6976" w:rsidRDefault="00AA6976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AA6976" w:rsidRDefault="00AA6976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AA6976" w:rsidRDefault="00AA6976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AA6976" w:rsidRPr="00FC477E" w:rsidRDefault="00AA6976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AA6976" w:rsidRPr="00EC6EFB" w:rsidRDefault="00AA6976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AA6976" w:rsidRDefault="00AA697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76" w:rsidRDefault="00AA697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AA6976" w:rsidRDefault="00AA697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A6976" w:rsidRDefault="00AA697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AA6976" w:rsidRDefault="00AA697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A6976" w:rsidRDefault="00AA697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31BB4"/>
    <w:multiLevelType w:val="multilevel"/>
    <w:tmpl w:val="EA08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66BB3"/>
    <w:multiLevelType w:val="multilevel"/>
    <w:tmpl w:val="F08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1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7"/>
  </w:num>
  <w:num w:numId="18">
    <w:abstractNumId w:val="18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9"/>
  </w:num>
  <w:num w:numId="37">
    <w:abstractNumId w:val="45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8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42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B4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05CC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06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3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5FA8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D9C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6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7F2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976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5BA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F17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03D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D99930"/>
  <w15:docId w15:val="{F5974A6C-951E-43B0-8E6B-8487E02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2"/>
    <w:rsid w:val="00ED70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3"/>
    <w:rsid w:val="00ED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C66C-A83C-49DA-A066-0183EBFB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8907</Words>
  <Characters>50774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32</cp:revision>
  <cp:lastPrinted>2021-06-03T09:32:00Z</cp:lastPrinted>
  <dcterms:created xsi:type="dcterms:W3CDTF">2021-05-24T15:24:00Z</dcterms:created>
  <dcterms:modified xsi:type="dcterms:W3CDTF">2022-02-01T07:51:00Z</dcterms:modified>
</cp:coreProperties>
</file>