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704E1E">
        <w:tc>
          <w:tcPr>
            <w:tcW w:w="9889" w:type="dxa"/>
            <w:gridSpan w:val="2"/>
          </w:tcPr>
          <w:p w14:paraId="5F23AFCC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704E1E">
        <w:tc>
          <w:tcPr>
            <w:tcW w:w="9889" w:type="dxa"/>
            <w:gridSpan w:val="2"/>
          </w:tcPr>
          <w:p w14:paraId="0CEA4A1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704E1E">
        <w:tc>
          <w:tcPr>
            <w:tcW w:w="9889" w:type="dxa"/>
            <w:gridSpan w:val="2"/>
          </w:tcPr>
          <w:p w14:paraId="1FFD25AF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704E1E">
        <w:tc>
          <w:tcPr>
            <w:tcW w:w="9889" w:type="dxa"/>
            <w:gridSpan w:val="2"/>
          </w:tcPr>
          <w:p w14:paraId="60D4F7F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704E1E">
        <w:tc>
          <w:tcPr>
            <w:tcW w:w="9889" w:type="dxa"/>
            <w:gridSpan w:val="2"/>
          </w:tcPr>
          <w:p w14:paraId="62A968EE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704E1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704E1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9F076E" w:rsidRPr="000E4F4E" w14:paraId="0E04FE99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704E1E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704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704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77777777" w:rsidR="009F076E" w:rsidRPr="00D97D6F" w:rsidRDefault="009F076E" w:rsidP="00704E1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076E" w14:paraId="3811B136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77777777" w:rsidR="009F076E" w:rsidRPr="00FF0D8A" w:rsidRDefault="009F076E" w:rsidP="00704E1E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8598AA" w14:textId="14047F42" w:rsidR="009F076E" w:rsidRPr="00BE4F33" w:rsidRDefault="00F270C2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9F076E" w:rsidRPr="00BE4F33">
              <w:rPr>
                <w:sz w:val="26"/>
                <w:szCs w:val="26"/>
              </w:rPr>
              <w:t>.03.0</w:t>
            </w:r>
            <w:r w:rsidR="00704E1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A3E6E14" w14:textId="0F9BE38D" w:rsidR="009F076E" w:rsidRPr="00BE4F33" w:rsidRDefault="00704E1E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</w:t>
            </w:r>
            <w:r w:rsidR="006F388F">
              <w:rPr>
                <w:sz w:val="26"/>
                <w:szCs w:val="26"/>
              </w:rPr>
              <w:t xml:space="preserve"> искусство</w:t>
            </w:r>
          </w:p>
        </w:tc>
      </w:tr>
      <w:tr w:rsidR="009F076E" w14:paraId="2BA35E3A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77777777" w:rsidR="009F076E" w:rsidRPr="00FF0D8A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1D0DB3" w14:textId="5347359C" w:rsidR="009F076E" w:rsidRPr="00C33FD8" w:rsidRDefault="00ED5E78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</w:t>
            </w:r>
            <w:r w:rsidR="00222B19">
              <w:rPr>
                <w:sz w:val="26"/>
                <w:szCs w:val="26"/>
              </w:rPr>
              <w:t>ые струнные инструменты</w:t>
            </w:r>
          </w:p>
        </w:tc>
      </w:tr>
      <w:tr w:rsidR="009F076E" w14:paraId="6585B440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77777777" w:rsidR="009F076E" w:rsidRPr="00D97D6F" w:rsidRDefault="009F076E" w:rsidP="00704E1E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F076E" w14:paraId="7B9DCB2B" w14:textId="77777777" w:rsidTr="00704E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704E1E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704E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704E1E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45F5A255" w:rsidR="009F076E" w:rsidRPr="00082FAB" w:rsidRDefault="004377E4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  <w:bookmarkStart w:id="11" w:name="_GoBack"/>
            <w:bookmarkEnd w:id="11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704E1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704E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704E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Выбор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proofErr w:type="spellStart"/>
            <w:r w:rsidR="00CA46F4">
              <w:rPr>
                <w:color w:val="000000"/>
              </w:rPr>
              <w:t>здоровьесберегающх</w:t>
            </w:r>
            <w:proofErr w:type="spellEnd"/>
            <w:r w:rsidR="00CA46F4"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4A003622" w:rsidR="00262427" w:rsidRPr="00A572F4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42C1101" w:rsidR="00262427" w:rsidRPr="00A572F4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6C27AD8" w:rsidR="00D122A3" w:rsidRPr="0005404B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2DAF02EF" w:rsidR="00D122A3" w:rsidRPr="0005404B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48C449A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446A07C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098DC3CC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3102BD44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B8518C2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40514C85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пособия </w:t>
            </w:r>
            <w:proofErr w:type="gramStart"/>
            <w:r w:rsidR="001555D5">
              <w:rPr>
                <w:bCs/>
              </w:rPr>
              <w:t>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суточных </w:t>
            </w:r>
            <w:proofErr w:type="spellStart"/>
            <w:r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4B7AA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6F10" w14:textId="77777777" w:rsidR="004B7AAA" w:rsidRDefault="004B7AAA" w:rsidP="005E3840">
      <w:r>
        <w:separator/>
      </w:r>
    </w:p>
  </w:endnote>
  <w:endnote w:type="continuationSeparator" w:id="0">
    <w:p w14:paraId="2272FC35" w14:textId="77777777" w:rsidR="004B7AAA" w:rsidRDefault="004B7A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B250" w14:textId="77777777" w:rsidR="00704E1E" w:rsidRDefault="00704E1E">
    <w:pPr>
      <w:pStyle w:val="ae"/>
      <w:jc w:val="right"/>
    </w:pPr>
  </w:p>
  <w:p w14:paraId="5E3D8B2A" w14:textId="77777777" w:rsidR="00704E1E" w:rsidRDefault="00704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9DD1" w14:textId="77777777" w:rsidR="00704E1E" w:rsidRDefault="00704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704E1E" w:rsidRDefault="00704E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1227" w14:textId="77777777" w:rsidR="00704E1E" w:rsidRDefault="00704E1E">
    <w:pPr>
      <w:pStyle w:val="ae"/>
      <w:jc w:val="right"/>
    </w:pPr>
  </w:p>
  <w:p w14:paraId="638C23E1" w14:textId="77777777" w:rsidR="00704E1E" w:rsidRDefault="00704E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D2FC" w14:textId="77777777" w:rsidR="00704E1E" w:rsidRDefault="00704E1E">
    <w:pPr>
      <w:pStyle w:val="ae"/>
      <w:jc w:val="right"/>
    </w:pPr>
  </w:p>
  <w:p w14:paraId="4A36D2B5" w14:textId="77777777" w:rsidR="00704E1E" w:rsidRDefault="00704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05EC" w14:textId="77777777" w:rsidR="004B7AAA" w:rsidRDefault="004B7AAA" w:rsidP="005E3840">
      <w:r>
        <w:separator/>
      </w:r>
    </w:p>
  </w:footnote>
  <w:footnote w:type="continuationSeparator" w:id="0">
    <w:p w14:paraId="20A04AE8" w14:textId="77777777" w:rsidR="004B7AAA" w:rsidRDefault="004B7A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6F50F843" w14:textId="31B60CA2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7DA9" w14:textId="77777777" w:rsidR="00704E1E" w:rsidRDefault="00704E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8D2E43" w14:textId="6E9B748A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E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704E1E" w:rsidRDefault="00704E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2229F3A7" w14:textId="0E308F8A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704E1E" w:rsidRDefault="00704E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2B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07F4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377E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AAA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88F"/>
    <w:rsid w:val="006F41A5"/>
    <w:rsid w:val="006F542E"/>
    <w:rsid w:val="006F566D"/>
    <w:rsid w:val="00702CA9"/>
    <w:rsid w:val="00704E1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7D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EA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1C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78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C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CAAD-D731-4594-A4DA-4945FE6A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Садова</cp:lastModifiedBy>
  <cp:revision>3</cp:revision>
  <cp:lastPrinted>2021-06-03T09:32:00Z</cp:lastPrinted>
  <dcterms:created xsi:type="dcterms:W3CDTF">2022-03-10T10:22:00Z</dcterms:created>
  <dcterms:modified xsi:type="dcterms:W3CDTF">2022-03-10T11:27:00Z</dcterms:modified>
</cp:coreProperties>
</file>