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21D12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Инструментовка, аранжировка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21D12">
        <w:rPr>
          <w:color w:val="000000"/>
        </w:rPr>
        <w:t>Инструментовка, аранжировка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AA056F">
        <w:rPr>
          <w:color w:val="000000"/>
        </w:rPr>
        <w:t xml:space="preserve"> № 11 от </w:t>
      </w:r>
      <w:r>
        <w:rPr>
          <w:color w:val="000000"/>
        </w:rPr>
        <w:t>1</w:t>
      </w:r>
      <w:r w:rsidR="00AA056F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  <w:sz w:val="26"/>
          <w:szCs w:val="26"/>
        </w:rPr>
        <w:t>Инструментовка, аранжировка</w:t>
      </w:r>
      <w:r w:rsidR="007C5E8E">
        <w:rPr>
          <w:color w:val="000000"/>
        </w:rPr>
        <w:t>» изучается в 2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FC5ACD">
              <w:rPr>
                <w:color w:val="000000"/>
              </w:rPr>
              <w:t xml:space="preserve"> семестр</w:t>
            </w:r>
          </w:p>
          <w:p w:rsidR="00521D12" w:rsidRDefault="007C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521D12">
              <w:rPr>
                <w:color w:val="000000"/>
              </w:rPr>
              <w:t xml:space="preserve"> семестр</w:t>
            </w: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</w:t>
            </w:r>
            <w:r w:rsidR="007C5E8E">
              <w:rPr>
                <w:color w:val="000000"/>
              </w:rPr>
              <w:t xml:space="preserve">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52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7C5E8E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794848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794848">
        <w:rPr>
          <w:color w:val="000000"/>
        </w:rPr>
        <w:t>направлению подготовки</w:t>
      </w:r>
      <w:r w:rsidR="00FC5ACD">
        <w:rPr>
          <w:color w:val="000000"/>
        </w:rPr>
        <w:t xml:space="preserve"> 53.0</w:t>
      </w:r>
      <w:r w:rsidR="00794848">
        <w:rPr>
          <w:color w:val="000000"/>
        </w:rPr>
        <w:t>3</w:t>
      </w:r>
      <w:r>
        <w:rPr>
          <w:color w:val="000000"/>
        </w:rPr>
        <w:t>.0</w:t>
      </w:r>
      <w:r w:rsidR="00794848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794848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794848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794848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617B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617B3D" w:rsidRPr="00617B3D" w:rsidRDefault="00617B3D" w:rsidP="00617B3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7B3D">
        <w:rPr>
          <w:color w:val="000000"/>
        </w:rPr>
        <w:t>Целью</w:t>
      </w:r>
      <w:r w:rsidR="001872A7" w:rsidRPr="00617B3D">
        <w:rPr>
          <w:color w:val="000000"/>
        </w:rPr>
        <w:t xml:space="preserve"> изучения дисциплины «</w:t>
      </w:r>
      <w:r w:rsidR="00521D12" w:rsidRPr="00617B3D">
        <w:rPr>
          <w:color w:val="000000"/>
        </w:rPr>
        <w:t>Инструментовка, аранжировка</w:t>
      </w:r>
      <w:r w:rsidRPr="00617B3D">
        <w:rPr>
          <w:color w:val="000000"/>
        </w:rPr>
        <w:t xml:space="preserve">» является </w:t>
      </w:r>
      <w:r w:rsidRPr="00617B3D">
        <w:t xml:space="preserve">обеспечение студентов знаниями и навыками, необходимыми для создания партитур оркестровых произведений различных стилей и форм; выработать в сознании будущих дирижеров представления о законах формирования инструментальных составов, о процессах историко-стилистического развития в области тембрового мышления. </w:t>
      </w:r>
    </w:p>
    <w:p w:rsidR="00617B3D" w:rsidRDefault="00617B3D" w:rsidP="00617B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дисциплины: </w:t>
      </w:r>
    </w:p>
    <w:p w:rsidR="00617B3D" w:rsidRPr="00380FDF" w:rsidRDefault="00617B3D" w:rsidP="00617B3D">
      <w:pPr>
        <w:pStyle w:val="Default"/>
      </w:pPr>
      <w:r w:rsidRPr="00380FDF">
        <w:t xml:space="preserve">— приобретение навыков создания инструментовок для различных инструментальных составов; </w:t>
      </w:r>
    </w:p>
    <w:p w:rsidR="00617B3D" w:rsidRPr="00380FDF" w:rsidRDefault="00617B3D" w:rsidP="00617B3D">
      <w:pPr>
        <w:pStyle w:val="Default"/>
      </w:pPr>
      <w:r w:rsidRPr="00380FDF">
        <w:t xml:space="preserve">— детальное рассмотрение особенностей формирования инструментальных составов; </w:t>
      </w:r>
    </w:p>
    <w:p w:rsidR="00617B3D" w:rsidRPr="00380FDF" w:rsidRDefault="00617B3D" w:rsidP="00617B3D">
      <w:pPr>
        <w:pStyle w:val="Default"/>
      </w:pPr>
      <w:r w:rsidRPr="00380FDF">
        <w:t xml:space="preserve">— всестороннее изучение исторических процессов музыкально-стилевого развития инструментально-оркестрового мышления; </w:t>
      </w:r>
    </w:p>
    <w:p w:rsidR="00617B3D" w:rsidRPr="00380FDF" w:rsidRDefault="00617B3D" w:rsidP="00617B3D">
      <w:pPr>
        <w:pStyle w:val="Default"/>
      </w:pPr>
      <w:r w:rsidRPr="00380FDF">
        <w:t xml:space="preserve">— получение представления о специфике звучания как отдельных инструментов и инструментальных групп, так и симфонического оркестра в целом; </w:t>
      </w:r>
    </w:p>
    <w:p w:rsidR="00617B3D" w:rsidRPr="00380FDF" w:rsidRDefault="00617B3D" w:rsidP="00617B3D">
      <w:pPr>
        <w:pStyle w:val="Default"/>
      </w:pPr>
      <w:r w:rsidRPr="00380FDF">
        <w:t xml:space="preserve">— получение необходимых сведений о записи оркестровых партитур в различные исторические периоды; </w:t>
      </w:r>
    </w:p>
    <w:p w:rsidR="00617B3D" w:rsidRPr="00380FDF" w:rsidRDefault="00617B3D" w:rsidP="00617B3D">
      <w:pPr>
        <w:pStyle w:val="Default"/>
      </w:pPr>
      <w:r w:rsidRPr="00380FDF">
        <w:t xml:space="preserve">— 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617B3D" w:rsidRPr="00380FDF" w:rsidRDefault="00617B3D" w:rsidP="00617B3D">
      <w:pPr>
        <w:pStyle w:val="Default"/>
      </w:pPr>
      <w:r w:rsidRPr="00380FDF">
        <w:t xml:space="preserve">— приобретение навыков аналитической работы с оркестровой партитурой; </w:t>
      </w:r>
    </w:p>
    <w:p w:rsidR="00617B3D" w:rsidRPr="00380FDF" w:rsidRDefault="00617B3D" w:rsidP="00617B3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 w:rsidRPr="00380FDF">
        <w:t>— рассмотрение основных тенденций тембрового мышления в ХХ веке.</w:t>
      </w:r>
    </w:p>
    <w:p w:rsidR="005F00E3" w:rsidRPr="00380FDF" w:rsidRDefault="001872A7" w:rsidP="00617B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380FDF">
        <w:rPr>
          <w:color w:val="000000"/>
        </w:rPr>
        <w:t>формирование у обучающихся компетенций, установленной образовательной программой в соответствии с ФГОС ВО</w:t>
      </w:r>
      <w:r w:rsidR="00380FDF">
        <w:rPr>
          <w:color w:val="000000"/>
        </w:rPr>
        <w:t xml:space="preserve"> по данной дисциплине.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380FDF" w:rsidTr="00380FDF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фортепиано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380FDF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380FDF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5A458E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61A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37" w:type="dxa"/>
          </w:tcPr>
          <w:p w:rsidR="005F00E3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5A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5F00E3" w:rsidRDefault="004A2B2D" w:rsidP="00DE14FF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5A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002" w:type="dxa"/>
            <w:vMerge w:val="restart"/>
          </w:tcPr>
          <w:p w:rsidR="005F00E3" w:rsidRDefault="001872A7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Введение. Понятие об инструментовке.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струнных смычковых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деревянных духовых инструментов.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5A458E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P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5A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5A45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2815ED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95"/>
        </w:trPr>
        <w:tc>
          <w:tcPr>
            <w:tcW w:w="1696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Соединение деревянных и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Соединение деревянных духовых и валторн со струнной группой.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5A45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1D0F8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4A2B2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380FDF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малого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большого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Инструментовка для духового оркестра.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A24F9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B1E77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CA5958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shd w:val="clear" w:color="auto" w:fill="auto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Pr="00C952E9" w:rsidRDefault="00A24F91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E5F6B" w:rsidRPr="00CA5958" w:rsidRDefault="005A458E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002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2951"/>
        <w:gridCol w:w="5519"/>
      </w:tblGrid>
      <w:tr w:rsidR="005F00E3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Введение. Понятие об инструментовке.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струнных смычковых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t>Инструментовка для группы деревянных духовых инструментов.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Инструментовка как важнейший компонент музыкального искусства. Цели и задачи курса. Содержание курса.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Оркестровая фактура, тембр, динамика, колорит как основные выразительные средства оркестра. Необходимость глубокого изучения выдающихся оркестровых произведений классиков и современных композиторов.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Струнный оркестр. Общий обзор струнных смычковых инструментов. Настройка. Аппликатура. Оркестровые диапазоны. Основные оркестровые штрихи.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простое применение струнной группы. 4-х-голосное изложение с удвоенным в октаву басом при обычном расположении партий (по тесситуре). Широкое и тесное расположение голосов.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Более сложные случаи применения группы струнных смычковых инструментов. Случаи нарушения обычного тесситурного расположения партий. Использование двойных нот в типичных фигурах фактуры: коротких, выдержанных, повторяющихся аккордах и тремоло.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3-х и 4-х струнные аккорды как особое средство выразительности. 3-х и 5-ти голосное сложение. Общий унисон струнной группы. Игра рizzicato. Случаи применения особых приемов игры: sul tasto, sul ponticello, col legno, смычкового tremolo (правой руки) и пальцевого (левой руки).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 divisi и различные случаи обращения к нему. Divisi отдельных партий с целью получения добавочных мелодических или аккомпанирующих голосов. Одновременное divisi нескольких или всех нартий струнного квинтета с целью широкого расположения оркестровой ткани при заполнении всех регистров, достижения прозрачной звучности с выключением части партий; создание однородных многоголосных хоров в различных регистрах (например – скрипичного или виолончельного и т.д.).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Особые колористические средства струнного оркестра: применение сурдин, большое pizzicato, применение флажолетов, перестройка струн.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Некоторые современные приемы игры на струнных инструментах: игра за подставкой, различные виды glissando, использование 1/4 тонов, кластерные сочетания при использовании струнного оркестра и некоторые другие новые приемы звукоизвлечения на струнных инструментах.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Струнный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деревянных духовых инструментов. Составы. Разнообразие и богатство ее тембров. Отличие применения в оркестре деревянных духовых инструментов (ансамблевый принцип) от струнных инструментов (хоровой принцип). Характеристики регистров, динамических возможностей и колористических особенностей деревянных духовых инструментов. Разновидности (видовые) инструментов, их специфическое использование.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в партиях деревянных духовых: у солирующих инструментов, мелодия в 2-х и более октавах, унисонные удвоения с целью получения смешанных тембров.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Два различных способа передачи пассажей от инструмента к инструменту.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деревянных духовых инструментов. Гармонические голоса и их удвоение; оркестровое голосоведение и его особенности. Основные условия ровного и слитного звучания аккордов, значение различных регистров, удвоения.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Приемы для получения ровного звучания: наслоение, перекрещивание, окружение, наложение в различных составах деревянных духовых инструментов: парном, тройном и четверном. Фигурация у деревянных духовых, типичные фигурационные рисунки.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 xml:space="preserve">Деревянные духовые с валторнами как самостоятельная группа оркестра. 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медных духовых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Соединение деревянных и медных духовых инструментов.</w:t>
            </w:r>
          </w:p>
          <w:p w:rsidR="00CA5958" w:rsidRPr="00CA5958" w:rsidRDefault="00CA5958" w:rsidP="00CA5958">
            <w:pPr>
              <w:ind w:firstLine="0"/>
            </w:pPr>
            <w:r w:rsidRPr="00CA5958">
              <w:rPr>
                <w:bCs/>
              </w:rPr>
              <w:t>Соединение деревянных духовых и валторн со струнной группой.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медных духовых инструментов. Сходство и различие в звучании инструментов, входящих в ее состав. Использование группы медных инструментов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медных инструментов: мелодия у солирующих инструментов, ведение мелодии в унисон и октаву, двух- и многоголосное (аккордовое) изложение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деревянных духовых и медных духовых в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медных духовых: 3-х и 4-х-голосные аккорды; многоголосные аккорды.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Различная роль инструментов медной группы при изложении аккордов (приемы наслоения, окружения, перекрещивания, наложения).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ударных инструментов, различные типы классификации (ударные с определенной и неопределенной высотой; по материалу звучащего тела).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Использование технических, динамических и колористических возможностей ударных инструментов в музыке различных эпох и стилей. Роль ударных инструментов в общем звучании оркестра. Использование их для динамических нарастаний. Применение ударных инструментов в живописно-изобразительном плане.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Самостоятельные выступления ударных, их ведущее значение в отдельных эпизодах. Повышение самостоятельной роли ударных инструментов в современной музыке. Произведения для одних ударных инструментов.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Арфа и основы техники письма для неё. Знакомство с современными приемами игры на арфе.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Клавишные инструменты: фортепиано, челеста, клавесин, синтезатор, электроорган.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Орган. Общее понятие об основах его устройства и технике письма для него.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двух духовых групп симфонического оркестра: чередования, сопоставления, наложения.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Чередование туттийного звучания с сольными и ансамблевыми эпизодами: различные инструментальные сочетания способствуют тембральному разнообразию партитуры.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Баланс деревянных и медных духовых. Грамотное распределение инструментов обеих групп по вертикали и горизонтали.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Принципы тембровой дифференциации функций: мелодия у струнных, гармония у духовых либо наоборот.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струнных, деревянные духовые инструменты в роли гармонического сопровождения (выдержанного или пульсирующего), валторны в качестве поддержки деревянных духовых. Подчеркивание и удвоение отдельных голосов ткани с помощью духовых.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деревянных духовых на фоне гармонического сопровождения струнных. Валторны в мелодической функции либо в роли гармонической педали.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Сопоставление ансамблей струнных и духовых инструментов. Тембровое суммирование (соединение групп) как результат оркестрового развития.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малого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большого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t>Инструментовка для духового оркестра.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Особенности строения оркестровой фактуры: полифункциональность, многоплановость, многоэлементность, многотембровость, изменчивость оркестровой ткани в связи с развитием музыки и формой произведения.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Функциональное строение оркестровой фактуры в музыке гомофонно-гармонического склада: мелодические голоса (главные и побочные) и различные способы их изложения в оркестре. Гармоническое сопровождение: простое, т. е. состоящее из одного вида изложения гармонической основы и комбинированное, т. е. состоящее из двух или нескольких видов изложения его в оркестре; басовый голос и особенности изложения его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Темброво-динамическая сторона партитуры и ее взаимодействие с функциональным строением оркестровой ткани. Создание «рельефа» ткани с помощью тембра, плотности и динамики (первый, второй и т.д. планы).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Развитие оркестровой фактуры во времени (оркестровая «горизонталь»): связь оркестровки с общей формой музыкального произведения; подчинение развития оркестровой ткани общей логике развития музыки; понятие о плане оркестровки целого произведения.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Малый симфонический оркестр в целом. Инструментовка вокальной музыки (разные виды: речитативно-декламационное и ариозное пение, требующие различного подхода к оркестровке).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Составы большого оркестра: парный, тройной, различные виды составов, промежуточных между парным и тройным; четверной и усиленный составы.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Введение в оркестр добавочных инструментов – фортепиано, органа, клавесина, народных инструментов, дополнительных медных инструментов и целого духового оркестра («банда»).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свойства большого симфонического оркестра: полнота, сила и яркость звучания всех его инструментальных групп; возможность большого разнообразия в приемах использования этих групп, применения различных их сочетаний, сопоставлений и противопоставлений; многообразие различных видов tutti и различных видов оркестровых педалей, возможность достижения длительных нарастаний и спадов оркестровой звучности; широкие возможности создания сложной развитой фактуры по вертикали и горизонтали.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типичные виды оркестровых Tutti: Тutti аккордового склада; Tutti мелодико-гармонического склада, различная роль основных инструментальных групп в такого рода tutti; Tutti при наличии контрапункта к основной теме; Tutti, использованное для создания развитого подвижного фона; драматургическое и изобразительное значение этого вида tutti; Tutti в музыке полифонического склада; малое tutti и различные виды его.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Различные случаи контрастного сопоставления инструментальных групп большого оркестра.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Оркестровая фактура в целом. Большое разнообразие функционального строения оркестровой фактуры в музыке различных стилей.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Особое значение длительного развития оркестровой фактуры во времени в крупных формах симфонической музыки. Формообразующее значение оркестровых средств: тематизм и тембр; разделы формы и оркестровая фактура; экспозиционный и разработочный типы оркестровки; вариантность оркестровки.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виды оркестрового варьирования. Экономия тембро-динамических средств.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План оркестровки произведений в целом. Понятие о темброво-динамической драматургии. Наиболее общие направления темброво-динамического развития: по волнообразной линии; восходящей, нисходящей; их сочетание; приемы включения и выключения оркестровых голосов при нарастаниях и спадах оркестровых звучностей.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Большой симфонический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Универсальность духового оркестра, специфика его использования. Группа саксгорнов: корнеты, альты, тенора, баритоны и басы. Группа саксофонов: сопрановый, альтовый, теноровый, баритоновый.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Разновидности духового оркестра: малый медный; состав с добавлением деревянных духовых инструментов; расширенный концертный духовой оркестр.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Взаимодействие оркестровых групп духового оркестра. Колористические, технические и динамические возможности духового оркестра. Использование духового оркестра в оперных спектаклях («банда») или в масштабных симфонических произведениях торжественно-героического характера.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6"/>
        <w:gridCol w:w="2713"/>
        <w:gridCol w:w="1773"/>
        <w:gridCol w:w="2750"/>
        <w:gridCol w:w="5427"/>
      </w:tblGrid>
      <w:tr w:rsidR="005F00E3" w:rsidTr="00BA30A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BA30A1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BA30A1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5F00E3" w:rsidRPr="00715108" w:rsidRDefault="00CA5958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инструментовки и аранжировки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A30A1" w:rsidRDefault="00BA30A1" w:rsidP="00BA3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</w:t>
            </w:r>
            <w:r w:rsidR="00BA30A1">
              <w:rPr>
                <w:color w:val="000000"/>
                <w:sz w:val="22"/>
                <w:szCs w:val="22"/>
              </w:rPr>
              <w:t xml:space="preserve"> 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№№1-3.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Ромео и Юлия. Гарольд в Италии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>Симфонии №№ 3, 4, 6, 7, 8, 9. Увертюры «Эгмонт», «Прометей», «Леонора №3»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Арлезианка.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Симфония №2, «В Средней Азии»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 Фрагменты из опер «Тангейзер», «Лоэнгрин», «Валькирия», «Зигфрид», «Тристан и Изольда», «Нюрнбергские майстерзингеры», «Парсифаль».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Симфония №7.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«Воспоминание о летней ночи в Мадриде».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 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 Симфонии</w:t>
            </w:r>
            <w:r w:rsidRPr="00221382">
              <w:t xml:space="preserve"> №</w:t>
            </w:r>
            <w:r>
              <w:t xml:space="preserve">№ 2, 3, 4, 5,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Мендельсон. Симфонии №№2, 3, 4, 5, Оратория «Илия» (фрагменты), «Рюи Блаз», «Сон в летнюю ночь».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 Симфонии №№31, 39, 41. Увертюры к операм «Идоменей», «Дон Жуан», «Волшебная флейта»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Симфонии №№1-7 (фрагменты).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Уйленшпигель. Жизнь героя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</w:t>
            </w:r>
            <w:r w:rsidR="0086704C">
              <w:t xml:space="preserve">Фрагменты из опер «Снегурочка», «Садко», «Сказание о невидимом граде Китеже и деве Февронии», «Млада», «Псковитянка».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Симфония №3.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частях. Симфония псалмов.</w:t>
            </w:r>
            <w:r w:rsidRPr="0098036A">
              <w:rPr>
                <w:color w:val="000000"/>
                <w:sz w:val="24"/>
                <w:szCs w:val="24"/>
              </w:rPr>
              <w:tab/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«Гаянэ». Третья симфония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«Гамлет».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 Симфонии №№4, 5, 7, 8, 9, 15 (фрагменты), Катерина Измайлова (фрагменты)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№№5,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Симфония №2, «Энигма-вариации»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085D5B">
              <w:rPr>
                <w:color w:val="000000"/>
                <w:sz w:val="22"/>
                <w:szCs w:val="22"/>
              </w:rPr>
              <w:t xml:space="preserve"> представил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085D5B">
              <w:rPr>
                <w:color w:val="000000"/>
                <w:sz w:val="22"/>
                <w:szCs w:val="22"/>
              </w:rPr>
              <w:t>инструментованную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3C00">
              <w:rPr>
                <w:color w:val="000000"/>
                <w:sz w:val="22"/>
                <w:szCs w:val="22"/>
              </w:rPr>
              <w:t>выбранную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верным нотным текстом.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 оркестровой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 корректно инструментованную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 незначительными неточностями в нотном тексте.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со значительными искажениями</w:t>
            </w:r>
            <w:r w:rsidR="00085D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нотном тексте</w:t>
            </w:r>
            <w:r w:rsidR="00085D5B">
              <w:rPr>
                <w:color w:val="000000"/>
                <w:sz w:val="22"/>
                <w:szCs w:val="22"/>
              </w:rPr>
              <w:t xml:space="preserve"> и отступлениями от норм инструментовки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085D5B">
              <w:rPr>
                <w:color w:val="000000"/>
                <w:sz w:val="22"/>
                <w:szCs w:val="22"/>
              </w:rPr>
              <w:t>представил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>
              <w:rPr>
                <w:color w:val="000000"/>
                <w:sz w:val="22"/>
                <w:szCs w:val="22"/>
              </w:rPr>
              <w:t xml:space="preserve"> искажениями в нотном тексте. В </w:t>
            </w:r>
            <w:r w:rsidR="00085D5B">
              <w:rPr>
                <w:color w:val="000000"/>
                <w:sz w:val="22"/>
                <w:szCs w:val="22"/>
              </w:rPr>
              <w:t>инструментовке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>особенности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085D5B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произведения </w:t>
            </w:r>
          </w:p>
          <w:p w:rsidR="00085D5B" w:rsidRDefault="00085D5B" w:rsidP="00085D5B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№№1-3.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Берлиоз. Ромео и Юлия. Гарольд в Италии (фрагменты). </w:t>
            </w:r>
          </w:p>
          <w:p w:rsidR="00085D5B" w:rsidRPr="00E23C7C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E23C7C">
              <w:t>Бетховен Л. </w:t>
            </w:r>
            <w:r>
              <w:t>Симфонии №№ 3, 4, 6, 7, 8, 9. Увертюры «Эгмонт», «Прометей», «Леонора №3»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Бизе. Арлезианка.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Симфония №2, «В Средней Азии»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Вагнер. Фрагменты из опер «Тангейзер», «Лоэнгрин», «Валькирия», «Зигфрид», «Тристан и Изольда», «Нюрнбергские майстерзингеры», «Парсифаль».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Симфония №7.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«Воспоминание о летней ночи в Мадриде».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 xml:space="preserve">Дебюсси. Море. Ноктюрны. Образы.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 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</w:pPr>
            <w:r>
              <w:t>Малер. Симфонии</w:t>
            </w:r>
            <w:r w:rsidRPr="00221382">
              <w:t xml:space="preserve"> №</w:t>
            </w:r>
            <w:r>
              <w:t xml:space="preserve">№ 2, 3, 4, 5, 9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Мендельсон. Симфонии №№2, 3, 4, 5, Оратория «Илия» (фрагменты), «Рюи Блаз», «Сон в летнюю ночь».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Моцарт. Симфонии №№31, 39, 41. Увертюры к операм «Идоменей», «Дон Жуан», «Волшебная флейта»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Симфонии №№1-7 (фрагменты). </w:t>
            </w:r>
          </w:p>
          <w:p w:rsidR="00085D5B" w:rsidRPr="00221382" w:rsidRDefault="00085D5B" w:rsidP="00085D5B">
            <w:pPr>
              <w:pStyle w:val="afd"/>
              <w:numPr>
                <w:ilvl w:val="0"/>
                <w:numId w:val="23"/>
              </w:numPr>
            </w:pPr>
            <w:r>
              <w:t xml:space="preserve">Р. Штраус. Дон Жуан. Тиль Уйленшпигель. Жизнь героя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Сен-Санс. Симфония №3. Пляска смерти.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Симфония №3.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частях. Симфония псалмов.</w:t>
            </w:r>
            <w:r w:rsidRPr="0098036A">
              <w:rPr>
                <w:color w:val="000000"/>
                <w:sz w:val="24"/>
                <w:szCs w:val="24"/>
              </w:rPr>
              <w:tab/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Франк. Симфония ре минор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«Гаянэ». Третья симфония (фрагменты).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Чайковский.</w:t>
            </w:r>
            <w:r>
              <w:t xml:space="preserve"> Симфонии 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«Гамлет».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Шостакович. Симфонии №№4, 5, 7, 8, 9, 15 (фрагменты), Катерина Измайлова (фрагменты)</w:t>
            </w:r>
          </w:p>
          <w:p w:rsidR="00085D5B" w:rsidRPr="0098036A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№№5, 8, 9.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Симфония №2, «Энигма-вариации»</w:t>
            </w:r>
          </w:p>
          <w:p w:rsidR="003079C4" w:rsidRPr="00A80E2B" w:rsidRDefault="003079C4" w:rsidP="00085D5B">
            <w:pPr>
              <w:ind w:firstLine="0"/>
              <w:jc w:val="both"/>
              <w:rPr>
                <w:i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085D5B">
        <w:trPr>
          <w:trHeight w:val="283"/>
        </w:trPr>
        <w:tc>
          <w:tcPr>
            <w:tcW w:w="3828" w:type="dxa"/>
            <w:vMerge w:val="restart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верным нотным текстом. В инструментовке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незначительными неточностями в нотном тексте. В инструментовке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со значительными искажениями в нотном тексте и отступлениями от норм инструментовки. В инструментовке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085D5B">
        <w:trPr>
          <w:trHeight w:val="283"/>
        </w:trPr>
        <w:tc>
          <w:tcPr>
            <w:tcW w:w="3828" w:type="dxa"/>
            <w:vMerge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085D5B" w:rsidRDefault="00085D5B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 многочисленными искажениями в нотном тексте. В инструментовке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85D5B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5A458E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5A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5A458E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085D5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910F28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7F1A9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третий</w:t>
            </w:r>
            <w:r w:rsidR="0063757A"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 w:rsidR="0063757A"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085D5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7F1A9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A458E">
              <w:rPr>
                <w:b/>
                <w:color w:val="000000"/>
                <w:sz w:val="22"/>
                <w:szCs w:val="22"/>
              </w:rPr>
              <w:t>четвертый</w:t>
            </w:r>
            <w:r w:rsidR="0063757A"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 w:rsidR="0063757A"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21D12">
        <w:rPr>
          <w:b/>
          <w:color w:val="000000"/>
          <w:sz w:val="26"/>
          <w:szCs w:val="26"/>
        </w:rPr>
        <w:t>Инструментовка, аранжировка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21D12">
        <w:rPr>
          <w:color w:val="000000"/>
          <w:sz w:val="26"/>
          <w:szCs w:val="26"/>
        </w:rPr>
        <w:t>Инструментовка, аранжировка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8E40CB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F30" w:rsidRPr="00091036" w:rsidRDefault="00596F30" w:rsidP="005A393A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521D12">
              <w:rPr>
                <w:lang w:eastAsia="ar-SA"/>
              </w:rPr>
              <w:t>Инструментовка, аранжировка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</w:t>
            </w:r>
            <w:r w:rsidR="00910F28">
              <w:rPr>
                <w:lang w:eastAsia="ar-SA"/>
              </w:rPr>
              <w:t>едры, протокол № 9 от 27.04.2020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910F28" w:rsidP="005A393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8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8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8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8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8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CB" w:rsidRDefault="008E40CB">
      <w:r>
        <w:separator/>
      </w:r>
    </w:p>
  </w:endnote>
  <w:endnote w:type="continuationSeparator" w:id="0">
    <w:p w:rsidR="008E40CB" w:rsidRDefault="008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CB" w:rsidRDefault="008E40CB">
      <w:r>
        <w:separator/>
      </w:r>
    </w:p>
  </w:footnote>
  <w:footnote w:type="continuationSeparator" w:id="0">
    <w:p w:rsidR="008E40CB" w:rsidRDefault="008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056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056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220B73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2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"/>
  </w:num>
  <w:num w:numId="5">
    <w:abstractNumId w:val="22"/>
  </w:num>
  <w:num w:numId="6">
    <w:abstractNumId w:val="0"/>
  </w:num>
  <w:num w:numId="7">
    <w:abstractNumId w:val="17"/>
  </w:num>
  <w:num w:numId="8">
    <w:abstractNumId w:val="18"/>
  </w:num>
  <w:num w:numId="9">
    <w:abstractNumId w:val="1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85D5B"/>
    <w:rsid w:val="00174A3A"/>
    <w:rsid w:val="00184238"/>
    <w:rsid w:val="001872A7"/>
    <w:rsid w:val="001D0F8E"/>
    <w:rsid w:val="001D6D14"/>
    <w:rsid w:val="001F04F6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80FDF"/>
    <w:rsid w:val="003B1E77"/>
    <w:rsid w:val="004365F6"/>
    <w:rsid w:val="004A2B2D"/>
    <w:rsid w:val="004A5E72"/>
    <w:rsid w:val="004B56C5"/>
    <w:rsid w:val="00512D31"/>
    <w:rsid w:val="00521D12"/>
    <w:rsid w:val="00543318"/>
    <w:rsid w:val="00596F30"/>
    <w:rsid w:val="005A393A"/>
    <w:rsid w:val="005A458E"/>
    <w:rsid w:val="005A7ABF"/>
    <w:rsid w:val="005B62F2"/>
    <w:rsid w:val="005D1A40"/>
    <w:rsid w:val="005E5F6B"/>
    <w:rsid w:val="005F00E3"/>
    <w:rsid w:val="005F1CE5"/>
    <w:rsid w:val="00617B3D"/>
    <w:rsid w:val="0063757A"/>
    <w:rsid w:val="00685DA3"/>
    <w:rsid w:val="00715108"/>
    <w:rsid w:val="0071653B"/>
    <w:rsid w:val="00794848"/>
    <w:rsid w:val="007C5E8E"/>
    <w:rsid w:val="007E5DBC"/>
    <w:rsid w:val="007F1A90"/>
    <w:rsid w:val="0086704C"/>
    <w:rsid w:val="0087735E"/>
    <w:rsid w:val="00892B7D"/>
    <w:rsid w:val="008C5B1F"/>
    <w:rsid w:val="008E40CB"/>
    <w:rsid w:val="008F5A7F"/>
    <w:rsid w:val="00910F28"/>
    <w:rsid w:val="00945732"/>
    <w:rsid w:val="00951B43"/>
    <w:rsid w:val="00954251"/>
    <w:rsid w:val="009613D2"/>
    <w:rsid w:val="009661A8"/>
    <w:rsid w:val="00966D67"/>
    <w:rsid w:val="009C125F"/>
    <w:rsid w:val="00A24F91"/>
    <w:rsid w:val="00A32448"/>
    <w:rsid w:val="00AA056F"/>
    <w:rsid w:val="00AB7DC7"/>
    <w:rsid w:val="00B1511B"/>
    <w:rsid w:val="00B5135A"/>
    <w:rsid w:val="00B73229"/>
    <w:rsid w:val="00BA30A1"/>
    <w:rsid w:val="00BC6DA4"/>
    <w:rsid w:val="00C46DB4"/>
    <w:rsid w:val="00C87F28"/>
    <w:rsid w:val="00C952E9"/>
    <w:rsid w:val="00CA351C"/>
    <w:rsid w:val="00CA5958"/>
    <w:rsid w:val="00CA6C9C"/>
    <w:rsid w:val="00CA7B27"/>
    <w:rsid w:val="00CC6427"/>
    <w:rsid w:val="00CE3C00"/>
    <w:rsid w:val="00D06168"/>
    <w:rsid w:val="00D463F8"/>
    <w:rsid w:val="00DC6328"/>
    <w:rsid w:val="00DE0471"/>
    <w:rsid w:val="00DE14FF"/>
    <w:rsid w:val="00E17E30"/>
    <w:rsid w:val="00EC656C"/>
    <w:rsid w:val="00F06A60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617B3D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2022-05-16T06:24:00Z</dcterms:created>
  <dcterms:modified xsi:type="dcterms:W3CDTF">2022-05-31T14:32:00Z</dcterms:modified>
</cp:coreProperties>
</file>