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2E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410243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Методика работы с солистами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410243">
        <w:rPr>
          <w:color w:val="000000"/>
        </w:rPr>
        <w:t>Методика работы с солистами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2E15AD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В.А. Понькин</w:t>
            </w:r>
            <w:r w:rsidR="00310197">
              <w:rPr>
                <w:color w:val="000000"/>
              </w:rPr>
              <w:t xml:space="preserve">            </w:t>
            </w:r>
            <w:r w:rsidR="00A65B44">
              <w:rPr>
                <w:noProof/>
                <w:sz w:val="26"/>
                <w:szCs w:val="26"/>
              </w:rPr>
              <w:drawing>
                <wp:inline distT="0" distB="0" distL="0" distR="0" wp14:anchorId="709202ED" wp14:editId="2C872906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410243">
        <w:rPr>
          <w:color w:val="000000"/>
          <w:sz w:val="26"/>
          <w:szCs w:val="26"/>
        </w:rPr>
        <w:t>Методика работы с солистами</w:t>
      </w:r>
      <w:r w:rsidR="000171A3">
        <w:rPr>
          <w:color w:val="000000"/>
        </w:rPr>
        <w:t>» изучается в</w:t>
      </w:r>
      <w:r w:rsidR="00833826">
        <w:rPr>
          <w:color w:val="000000"/>
        </w:rPr>
        <w:t xml:space="preserve"> 6 – 7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</w:t>
            </w:r>
            <w:r w:rsidR="00833826">
              <w:rPr>
                <w:color w:val="000000"/>
              </w:rPr>
              <w:t xml:space="preserve"> с оценкой</w:t>
            </w:r>
          </w:p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 xml:space="preserve">- </w:t>
            </w:r>
            <w:r w:rsidR="00833826">
              <w:rPr>
                <w:color w:val="000000"/>
              </w:rPr>
              <w:t>экзамен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410243">
        <w:rPr>
          <w:color w:val="000000"/>
        </w:rPr>
        <w:t>Методика работы с солистами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Инструментовка</w:t>
      </w:r>
      <w:r w:rsidR="0071653B"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5A6687">
        <w:rPr>
          <w:color w:val="000000"/>
        </w:rPr>
        <w:t>;</w:t>
      </w:r>
    </w:p>
    <w:p w:rsidR="005A6687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Дирижирование.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410243" w:rsidRPr="00410243" w:rsidRDefault="005A6687" w:rsidP="00D85EA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3"/>
        </w:rPr>
      </w:pPr>
      <w:r w:rsidRPr="00410243">
        <w:rPr>
          <w:color w:val="000000"/>
        </w:rPr>
        <w:t>Целью</w:t>
      </w:r>
      <w:r w:rsidR="0086743E" w:rsidRPr="00410243">
        <w:rPr>
          <w:color w:val="000000"/>
        </w:rPr>
        <w:t xml:space="preserve"> </w:t>
      </w:r>
      <w:r w:rsidR="001872A7" w:rsidRPr="00410243">
        <w:rPr>
          <w:color w:val="000000"/>
        </w:rPr>
        <w:t>изучения дисциплины «</w:t>
      </w:r>
      <w:r w:rsidR="00410243" w:rsidRPr="00410243">
        <w:rPr>
          <w:color w:val="000000"/>
        </w:rPr>
        <w:t>Методика работы с солистами</w:t>
      </w:r>
      <w:r w:rsidR="00833826" w:rsidRPr="00410243">
        <w:rPr>
          <w:color w:val="000000"/>
        </w:rPr>
        <w:t xml:space="preserve">» является </w:t>
      </w:r>
      <w:r w:rsidR="00410243">
        <w:rPr>
          <w:sz w:val="23"/>
          <w:szCs w:val="23"/>
        </w:rPr>
        <w:t xml:space="preserve">подготовка дирижёра, умеющего профессионально планировать и осуществлять работу с артистами творческих коллективов самого широкого профиля. </w:t>
      </w:r>
    </w:p>
    <w:p w:rsidR="005A6687" w:rsidRPr="00410243" w:rsidRDefault="005A6687" w:rsidP="00D85EA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3"/>
        </w:rPr>
      </w:pPr>
      <w:r w:rsidRPr="00410243">
        <w:rPr>
          <w:szCs w:val="23"/>
        </w:rPr>
        <w:t>В число задач освоения дисциплины входит: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развитие профессиональных навыков работы со всеми разновидностями состава симфонического оркестра и инструментального ансамбля;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обобщение и углубление базовых знаний по технике дирижирования;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изучение опыта репетиционной работы, накопленного выдающимися дирижёрами;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создание теоретической и практической базы для самостоятельной работы над партитурой и её звуковым воплощением симфоническим оркестром;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развитие навыков планирования репетиционной работы;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jc w:val="both"/>
        <w:rPr>
          <w:szCs w:val="23"/>
        </w:rPr>
      </w:pPr>
      <w:r w:rsidRPr="00410243">
        <w:rPr>
          <w:szCs w:val="23"/>
        </w:rPr>
        <w:t xml:space="preserve">изучение учебно-методической литературы, посвященной вопросам работы с симфоническим оркестром. </w:t>
      </w:r>
    </w:p>
    <w:p w:rsidR="005F00E3" w:rsidRPr="005A6687" w:rsidRDefault="001872A7" w:rsidP="00D85EA3">
      <w:pPr>
        <w:pStyle w:val="Default"/>
        <w:numPr>
          <w:ilvl w:val="0"/>
          <w:numId w:val="33"/>
        </w:numPr>
        <w:jc w:val="both"/>
      </w:pPr>
      <w:r w:rsidRPr="005A6687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 w:rsidP="00D85EA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Ос</w:t>
            </w:r>
            <w:r w:rsidR="000B052B">
              <w:rPr>
                <w:color w:val="000000"/>
                <w:sz w:val="22"/>
                <w:szCs w:val="22"/>
              </w:rPr>
              <w:t>уществление самостоятельной репе</w:t>
            </w:r>
            <w:r w:rsidR="000B052B" w:rsidRPr="000B052B">
              <w:rPr>
                <w:color w:val="000000"/>
                <w:sz w:val="22"/>
                <w:szCs w:val="22"/>
              </w:rPr>
              <w:t>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 w:rsidRPr="0023725F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Знание основ общей музыкальной и дирижерской педагогики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знает и применяет на практике базовые принципы музыкальной педагогики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изучает актуальные методики для </w:t>
            </w:r>
            <w:r w:rsidRPr="00432820">
              <w:rPr>
                <w:color w:val="000000"/>
                <w:sz w:val="22"/>
                <w:szCs w:val="22"/>
              </w:rPr>
              <w:t>решения художественно-исполнительских</w:t>
            </w:r>
            <w:r>
              <w:rPr>
                <w:color w:val="000000"/>
                <w:sz w:val="22"/>
                <w:szCs w:val="22"/>
              </w:rPr>
              <w:t>, а также педагогических</w:t>
            </w:r>
            <w:r w:rsidRPr="00432820">
              <w:rPr>
                <w:color w:val="000000"/>
                <w:sz w:val="22"/>
                <w:szCs w:val="22"/>
              </w:rPr>
              <w:t xml:space="preserve"> задач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32820">
              <w:rPr>
                <w:color w:val="000000"/>
                <w:sz w:val="22"/>
                <w:szCs w:val="22"/>
              </w:rPr>
              <w:t xml:space="preserve"> и оценки результатов их выполнен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Применение на практике базовых принципов музыкальной педагогики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 w:rsidR="00432820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  <w:r w:rsidR="00833826">
              <w:rPr>
                <w:color w:val="000000"/>
              </w:rPr>
              <w:t xml:space="preserve"> с оценкой</w:t>
            </w:r>
          </w:p>
        </w:tc>
        <w:tc>
          <w:tcPr>
            <w:tcW w:w="83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8" w:type="dxa"/>
            <w:gridSpan w:val="2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833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2815ED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5F00E3" w:rsidRDefault="004A2B2D" w:rsidP="00B374F1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225673" w:rsidRDefault="00225673" w:rsidP="00833826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ВОПРОСЫ ТЕОРИИ ДИРИЖЁРСКОГО ИСКУССТВА И ИСКУССТВА ИНТЕРПРЕТАЦИИ</w:t>
            </w:r>
          </w:p>
          <w:p w:rsidR="00225673" w:rsidRPr="00225673" w:rsidRDefault="00225673" w:rsidP="00225673">
            <w:pPr>
              <w:pStyle w:val="Default"/>
              <w:rPr>
                <w:bCs/>
                <w:iCs/>
                <w:szCs w:val="23"/>
              </w:rPr>
            </w:pPr>
            <w:r>
              <w:t>Вопросы теории дирижёрского искусства</w:t>
            </w:r>
            <w:r>
              <w:br/>
            </w:r>
            <w:r>
              <w:t>Вопросы дирижерской интерпретации</w:t>
            </w:r>
            <w:r>
              <w:br/>
            </w:r>
            <w:r>
              <w:rPr>
                <w:b/>
                <w:bCs/>
                <w:sz w:val="23"/>
                <w:szCs w:val="23"/>
              </w:rPr>
              <w:t>ЭТАПЫ И ВИДЫ РЕПЕТИЦИОННОЙ РАБОТЫ</w:t>
            </w:r>
            <w:r>
              <w:rPr>
                <w:b/>
                <w:bCs/>
                <w:sz w:val="23"/>
                <w:szCs w:val="23"/>
              </w:rPr>
              <w:br/>
            </w:r>
          </w:p>
          <w:p w:rsidR="00833826" w:rsidRPr="00225673" w:rsidRDefault="00833826" w:rsidP="00225673">
            <w:pPr>
              <w:pStyle w:val="Default"/>
              <w:rPr>
                <w:bCs/>
                <w:iCs/>
                <w:szCs w:val="23"/>
              </w:rPr>
            </w:pP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  <w:r w:rsidR="00833826">
              <w:rPr>
                <w:b/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833826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2815ED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  <w:tc>
          <w:tcPr>
            <w:tcW w:w="5948" w:type="dxa"/>
          </w:tcPr>
          <w:p w:rsidR="00C22F65" w:rsidRPr="00B374F1" w:rsidRDefault="00C22F6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833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225673" w:rsidRDefault="00225673" w:rsidP="00225673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СОДЕРЖАНИЕ РЕПЕТИЦИОННОГО ПРОЦЕССА</w:t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t xml:space="preserve">Психологические и организационные особенности </w:t>
            </w:r>
          </w:p>
          <w:p w:rsidR="00225673" w:rsidRDefault="00225673" w:rsidP="00225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3"/>
                <w:szCs w:val="23"/>
              </w:rPr>
            </w:pPr>
            <w:r w:rsidRPr="00225673">
              <w:rPr>
                <w:bCs/>
                <w:sz w:val="23"/>
                <w:szCs w:val="23"/>
              </w:rPr>
              <w:t>репетиционной работы с оркестром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833826" w:rsidRPr="003A1A33" w:rsidRDefault="00225673" w:rsidP="00225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bCs/>
                <w:sz w:val="23"/>
                <w:szCs w:val="23"/>
              </w:rPr>
              <w:t>АНАЛИЗ ТИПИЧНЫХ ОШИБОК РЕПЕТИЦИОННОГО ПРОЦЕСС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t>РЕПЕРТУАР СИМФОНИЧЕСКОГО И КАМЕРНОГО ОРКЕСТРА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833826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833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833826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833826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5A6687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833826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Pr="009F01EB" w:rsidRDefault="005F00E3" w:rsidP="00CF5DC2">
            <w:pPr>
              <w:pStyle w:val="Default"/>
              <w:rPr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3AD6" w:rsidRDefault="00BF3AD6" w:rsidP="00BF3AD6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ВОПРОСЫ ТЕОРИИ ДИРИЖЁРСКОГО ИСКУССТВА И ИСКУССТВА ИНТЕРПРЕТАЦИИ</w:t>
            </w:r>
          </w:p>
          <w:p w:rsidR="00787E83" w:rsidRPr="00BF3AD6" w:rsidRDefault="00BF3AD6" w:rsidP="00564F50">
            <w:pPr>
              <w:pStyle w:val="Default"/>
              <w:rPr>
                <w:bCs/>
                <w:iCs/>
                <w:szCs w:val="23"/>
              </w:rPr>
            </w:pPr>
            <w:r>
              <w:t>Вопросы теории дирижёрского искусства</w:t>
            </w:r>
            <w:r>
              <w:br/>
              <w:t>Вопросы дирижерской интерпретации</w:t>
            </w:r>
            <w:r>
              <w:br/>
            </w:r>
            <w:r>
              <w:rPr>
                <w:b/>
                <w:bCs/>
                <w:sz w:val="23"/>
                <w:szCs w:val="23"/>
              </w:rPr>
              <w:t>ЭТАПЫ И ВИДЫ РЕПЕТИЦИОННОЙ РАБОТЫ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становления дирижирования как профессии. Значение представителей романтической школы в формировании теории и технологии дирижирования. Исполнительские принципы в дирижёрском искусстве ХIХ – начала ХХ столетия.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Обучение симфоническому дирижированию в России. Современный уровень дирижёрского исполнительства. Современный симфонический оркестр. Роль дирижёра в процессе воспитания симфонического оркестра. Личность дирижёра как определяющая для исполнительского процесса.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Интерпретация как высшее выражение творческого взаимодействия дирижёра и оркестра. Обзор проблем стилистики интерпретации оркестровой и оперной музыки барокко, классицизма, романтизма, импрессионизма, экспрессионизма, ведущих направлений современной музыки. Проблема интерпретации в современной музыке. Жанрово-стилистические особенности воплощения современной музыки. </w:t>
            </w:r>
          </w:p>
          <w:p w:rsidR="00564F50" w:rsidRDefault="00BF3AD6" w:rsidP="00BF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Триада: композитор – исполнитель – слушатель и дирижерское исполнительство. Дирижёрская интерпретация как искусство выявления содержания и комплекса выразительных средств произведения.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Подготовительный этап. </w:t>
            </w:r>
            <w:r>
              <w:rPr>
                <w:sz w:val="23"/>
                <w:szCs w:val="23"/>
              </w:rPr>
              <w:t>Самостоятельная работа дирижёра над партитурой, её всесторонний анализ: историко-стилистический, музыкально-теоретический (</w:t>
            </w:r>
            <w:proofErr w:type="spellStart"/>
            <w:r>
              <w:rPr>
                <w:sz w:val="23"/>
                <w:szCs w:val="23"/>
              </w:rPr>
              <w:t>тематизм</w:t>
            </w:r>
            <w:proofErr w:type="spellEnd"/>
            <w:r>
              <w:rPr>
                <w:sz w:val="23"/>
                <w:szCs w:val="23"/>
              </w:rPr>
              <w:t xml:space="preserve">, особенности формообразования, фактуры, </w:t>
            </w:r>
            <w:proofErr w:type="spellStart"/>
            <w:r>
              <w:rPr>
                <w:sz w:val="23"/>
                <w:szCs w:val="23"/>
              </w:rPr>
              <w:t>ладотональности</w:t>
            </w:r>
            <w:proofErr w:type="spellEnd"/>
            <w:r>
              <w:rPr>
                <w:sz w:val="23"/>
                <w:szCs w:val="23"/>
              </w:rPr>
              <w:t xml:space="preserve">, оркестрового письма), исполнительский (образный строй, драматургия) и т.д. Принципы формирования собственной интерпретации. Выбор исполнительских средств. 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Начальный этап.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Краткая информация о сочинении: стилистические особенности, история создания и исполнения, обстоятельства и сроки репетиционной работы, исполнительский план. Проигрывание произведения или всей программы (темпы могут быть приближены к авторским).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Основной этап.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реализации дирижёром своей интерпретации. Конкретизация и уточнение исполнительских средств (штрихи, аппликатура, </w:t>
            </w:r>
            <w:r>
              <w:rPr>
                <w:sz w:val="23"/>
                <w:szCs w:val="23"/>
              </w:rPr>
              <w:lastRenderedPageBreak/>
              <w:t xml:space="preserve">нюансировка, распределение кульминаций и др.). 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Чередование по мере необходимости индивидуальных, групповых и общих репетиций.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Завершающий этап. </w:t>
            </w:r>
          </w:p>
          <w:p w:rsidR="00BF3AD6" w:rsidRPr="009F01EB" w:rsidRDefault="00BF3AD6" w:rsidP="00BF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Способы достижения полной исполнительской свободы. Выявление драматургии, образности, основной идеи сочинения. Работа над культурой звука, звуковым и тембровым балансом. Прогоны частей сочинений и программы в целом. Генеральная репетиция. 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3AD6" w:rsidRDefault="00BF3AD6" w:rsidP="00BF3AD6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СОДЕРЖАНИЕ РЕПЕТИЦИОННОГО ПРОЦЕССА</w:t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t xml:space="preserve">Психологические и организационные особенности </w:t>
            </w:r>
          </w:p>
          <w:p w:rsidR="00BF3AD6" w:rsidRDefault="00BF3AD6" w:rsidP="00BF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3"/>
                <w:szCs w:val="23"/>
              </w:rPr>
            </w:pPr>
            <w:r w:rsidRPr="00225673">
              <w:rPr>
                <w:bCs/>
                <w:sz w:val="23"/>
                <w:szCs w:val="23"/>
              </w:rPr>
              <w:t>репетиционной работы с оркестром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787E83" w:rsidRPr="003B1E77" w:rsidRDefault="00BF3AD6" w:rsidP="00BF3AD6">
            <w:pPr>
              <w:tabs>
                <w:tab w:val="right" w:leader="underscore" w:pos="9639"/>
              </w:tabs>
            </w:pPr>
            <w:r>
              <w:rPr>
                <w:b/>
                <w:bCs/>
                <w:sz w:val="23"/>
                <w:szCs w:val="23"/>
              </w:rPr>
              <w:t>АНАЛИЗ ТИПИЧНЫХ ОШИБОК РЕПЕТИЦИОННОГО ПРОЦЕССА</w:t>
            </w:r>
            <w:r>
              <w:rPr>
                <w:b/>
                <w:bCs/>
                <w:sz w:val="23"/>
                <w:szCs w:val="23"/>
              </w:rPr>
              <w:br/>
              <w:t>РЕПЕРТУАР СИМФОНИЧЕСКОГО И КАМЕРНОГО ОРКЕСТРА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Методика проведения репетиции. Организация формы сочинения как процесса. Перспективные задачи репетиционной работы как основа процесса непрерывного профессионального совершенствования музыкантов оркестра.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синхронностью исполнения </w:t>
            </w:r>
            <w:proofErr w:type="spellStart"/>
            <w:r>
              <w:rPr>
                <w:sz w:val="23"/>
                <w:szCs w:val="23"/>
              </w:rPr>
              <w:t>агогических</w:t>
            </w:r>
            <w:proofErr w:type="spellEnd"/>
            <w:r>
              <w:rPr>
                <w:sz w:val="23"/>
                <w:szCs w:val="23"/>
              </w:rPr>
              <w:t xml:space="preserve"> отклонений.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Приёмы штриховой и артикуляционной работы. Приёмы достижения разнообразия динамической шкалы. Штриховые, динамические, артикуляционные приёмы в условиях исполнения произведений различных стилевых направлений. Фразировка и стилистика.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работы над различными видами оркестровой фактуры: аккомпанемент певцам, инструментам, хору. Достижение ансамбля между оркестром и солистами.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Специфика оркестрового исполнительства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Оркестр как коллектив высококвалифицированных исполнителей и его особенности. Проблема аутентичности исполнения. Опыт исполнения партитуры ведущих мастеров дирижёрского искусства. Ретуши в оркестровом исполнительстве: целесообразность, стилистическая обусловленность.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Психологические и организационные особенности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репетиционной работы с оркестром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координация работы дирижёра, концертмейстеров оркестра и его групп, инспектора, библиотекаря. Художественный совет коллектива. </w:t>
            </w:r>
          </w:p>
          <w:p w:rsidR="00564F50" w:rsidRPr="009F01EB" w:rsidRDefault="00BF3AD6" w:rsidP="00BF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Цель воспитательной работы, создание необходимых условий для совместного творчества. Психологическая подготовка коллектива к выступлению. Обсуждение с коллективом результатов выступления.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410243">
        <w:rPr>
          <w:color w:val="000000"/>
        </w:rPr>
        <w:t>Методика работы с солистами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410243">
        <w:rPr>
          <w:color w:val="000000"/>
        </w:rPr>
        <w:t>Методика работы с солистами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A1313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Обучающийся: 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B2790D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F857A1" w:rsidRDefault="00F857A1" w:rsidP="00F857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2790D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410243">
        <w:rPr>
          <w:color w:val="000000"/>
        </w:rPr>
        <w:t>Методика работы с солистами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FD414A" w:rsidRDefault="00FD414A" w:rsidP="00FD41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История становления дирижирования как профессии.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Значение представителей романтической школы в формировании теории и технологии дирижирования.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Исполнительские принципы в дирижёрском искусстве ХIХ – начала ХХ столетия.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Обучение симфоническому дирижированию в России. Современный уровень дирижёрского исполнительства.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Интерпретация как высшее выражение творческого взаимодействия дирижёра и оркестра.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Проблема интерпретации в современной музыке. Жанрово-стилистические особенности воплощения современной музыки.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Дирижёрская интерпретация как искусство выявления содержания и комплекса выразительных средств произведения.</w:t>
            </w:r>
          </w:p>
          <w:p w:rsidR="00A63154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Самостоятельная работа дирижёра над партитурой, её всесторонний анализ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</w:t>
            </w:r>
          </w:p>
          <w:p w:rsidR="00A63154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Способы реализации дирижёром своей интерпретации.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Прогоны частей сочинений и программы в целом. 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Генеральная репетиция. </w:t>
            </w:r>
          </w:p>
          <w:p w:rsidR="00B2790D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>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Методика проведения репетиции. Организация формы сочинения как процесса.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bCs/>
                <w:szCs w:val="23"/>
              </w:rPr>
              <w:t xml:space="preserve">Психологические и организационные особенности репетиционной работы с оркестром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Планирование репертуарной политики коллектива.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 w:val="23"/>
                <w:szCs w:val="23"/>
              </w:rPr>
            </w:pPr>
            <w:r w:rsidRPr="00A63154">
              <w:rPr>
                <w:szCs w:val="23"/>
              </w:rPr>
              <w:t>Вопросы сочетания сочинений в концертной программе. Принципы выст</w:t>
            </w:r>
            <w:r w:rsidR="00A63154" w:rsidRPr="00A63154">
              <w:rPr>
                <w:szCs w:val="23"/>
              </w:rPr>
              <w:t xml:space="preserve">раивания концертной программы. 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CE1096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CE1096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оценочного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2410" w:type="dxa"/>
            <w:vMerge w:val="restart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</w:t>
            </w:r>
            <w:r w:rsidR="00A63154">
              <w:rPr>
                <w:color w:val="000000"/>
                <w:sz w:val="22"/>
                <w:szCs w:val="22"/>
              </w:rPr>
              <w:t xml:space="preserve"> теории </w:t>
            </w:r>
            <w:r>
              <w:rPr>
                <w:color w:val="000000"/>
                <w:sz w:val="22"/>
                <w:szCs w:val="22"/>
              </w:rPr>
              <w:t>и практики</w:t>
            </w:r>
            <w:r w:rsidR="00A63154">
              <w:rPr>
                <w:color w:val="000000"/>
                <w:sz w:val="22"/>
                <w:szCs w:val="22"/>
              </w:rPr>
              <w:t xml:space="preserve"> репетиционного процесса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теории и практики</w:t>
            </w:r>
            <w:r w:rsidR="00A63154">
              <w:rPr>
                <w:color w:val="000000"/>
                <w:sz w:val="22"/>
                <w:szCs w:val="22"/>
              </w:rPr>
              <w:t xml:space="preserve"> репетиционного процесса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теории и практики</w:t>
            </w:r>
            <w:r w:rsidR="00A63154">
              <w:rPr>
                <w:color w:val="000000"/>
                <w:sz w:val="22"/>
                <w:szCs w:val="22"/>
              </w:rPr>
              <w:t xml:space="preserve"> репетиционного процесса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теории и практики </w:t>
            </w:r>
            <w:r w:rsidR="00A63154">
              <w:rPr>
                <w:color w:val="000000"/>
                <w:sz w:val="22"/>
                <w:szCs w:val="22"/>
              </w:rPr>
              <w:t>репетиционного процесса</w:t>
            </w:r>
            <w:r>
              <w:rPr>
                <w:color w:val="000000"/>
                <w:sz w:val="22"/>
                <w:szCs w:val="22"/>
              </w:rPr>
              <w:t>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</w:t>
            </w:r>
            <w:r w:rsidR="003079C4">
              <w:rPr>
                <w:color w:val="000000"/>
              </w:rPr>
              <w:t xml:space="preserve"> </w:t>
            </w:r>
            <w:r w:rsidR="00A63154">
              <w:rPr>
                <w:color w:val="000000"/>
              </w:rPr>
              <w:t>Экзамен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A63154" w:rsidRDefault="00A63154" w:rsidP="00A631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История становления дирижирования как профессии.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Значение представителей романтической школы в формировании теории и технологии дирижирования.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Исполнительские принципы в дирижёрском искусстве ХIХ – начала ХХ столетия.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>Обучение симф</w:t>
            </w:r>
            <w:bookmarkStart w:id="2" w:name="_GoBack"/>
            <w:bookmarkEnd w:id="2"/>
            <w:r w:rsidRPr="00A63154">
              <w:rPr>
                <w:szCs w:val="23"/>
              </w:rPr>
              <w:t xml:space="preserve">оническому дирижированию в России. Современный уровень дирижёрского исполнительства.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Интерпретация как высшее выражение творческого взаимодействия дирижёра и оркестра.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Проблема интерпретации в современной музыке. Жанрово-стилистические особенности воплощения современной музыки.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Дирижёрская интерпретация как искусство выявления содержания и комплекса выразительных средств произведения.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Самостоятельная работа дирижёра над партитурой, её всесторонний анализ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Способы реализации дирижёром своей интерпретации.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Прогоны частей сочинений и программы в целом.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Генеральная репетиция. </w:t>
            </w:r>
          </w:p>
          <w:p w:rsid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Приёмы преодоления психологического напряжения коллектива, связанного с концертным исполнением.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>Организация концертов для обыгрывания программы и достижения психологической стабильности.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Методика проведения репетиции. Организация формы сочинения как процесса.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bCs/>
                <w:szCs w:val="23"/>
              </w:rPr>
              <w:t xml:space="preserve">Психологические и организационные особенности репетиционной работы с оркестром </w:t>
            </w:r>
          </w:p>
          <w:p w:rsid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</w:t>
            </w:r>
          </w:p>
          <w:p w:rsid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>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Самодисциплина дирижёра.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Планирование репертуарной политики коллектива.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i/>
              </w:rPr>
            </w:pPr>
            <w:r w:rsidRPr="00A63154">
              <w:rPr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  <w:p w:rsidR="00075E60" w:rsidRPr="00C068EA" w:rsidRDefault="00A63154" w:rsidP="00A63154">
            <w:pPr>
              <w:pStyle w:val="Default"/>
              <w:numPr>
                <w:ilvl w:val="0"/>
                <w:numId w:val="38"/>
              </w:numPr>
              <w:rPr>
                <w:i/>
              </w:rPr>
            </w:pPr>
            <w:r w:rsidRPr="00A63154">
              <w:rPr>
                <w:szCs w:val="23"/>
              </w:rPr>
              <w:t>Вопросы сочетания сочинений в концертной программе. Принципы выстраивания концертной программы.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A63154">
        <w:trPr>
          <w:trHeight w:val="283"/>
        </w:trPr>
        <w:tc>
          <w:tcPr>
            <w:tcW w:w="3828" w:type="dxa"/>
            <w:vMerge w:val="restart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 Экзамен</w:t>
            </w:r>
          </w:p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теории и практики репетиционного процесса;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теории и практики репетиционного процесса;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теории и практики репетиционного процесса; приведены примеры, отражающие неполное овладение контекстом изучаемой дисциплины.</w:t>
            </w:r>
          </w:p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теории и практики репетиционного процесса; не приведены примеры, </w:t>
            </w:r>
            <w:r>
              <w:rPr>
                <w:color w:val="000000"/>
                <w:sz w:val="22"/>
                <w:szCs w:val="22"/>
              </w:rPr>
              <w:lastRenderedPageBreak/>
              <w:t>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 w:rsidP="00F2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252C0"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  <w:r w:rsidR="00A63154">
              <w:rPr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A6315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63154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  <w:r w:rsidR="00A63154">
              <w:rPr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A631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A6315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63154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A631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410243">
        <w:rPr>
          <w:color w:val="000000"/>
        </w:rPr>
        <w:t>Методика работы с солистами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410243">
        <w:rPr>
          <w:b/>
          <w:color w:val="000000"/>
          <w:sz w:val="26"/>
          <w:szCs w:val="26"/>
        </w:rPr>
        <w:t>Методика работы с солистами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410243">
        <w:rPr>
          <w:color w:val="000000"/>
          <w:sz w:val="26"/>
          <w:szCs w:val="26"/>
        </w:rPr>
        <w:t>Методика работы с солистами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Pr="00F252C0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252C0" w:rsidRPr="001E5106" w:rsidTr="00F857A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603D21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252C0" w:rsidRPr="001E5106" w:rsidTr="00F857A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Варламов Д. И., </w:t>
            </w:r>
            <w:proofErr w:type="spellStart"/>
            <w:r>
              <w:rPr>
                <w:sz w:val="22"/>
                <w:szCs w:val="20"/>
                <w:lang w:eastAsia="ar-SA"/>
              </w:rPr>
              <w:t>Тремзина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Ауфтакт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A03417" w:rsidRDefault="00615AFD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4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Вейнгартнер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615AFD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5" w:tgtFrame="_blank" w:history="1">
              <w:r w:rsidR="00F252C0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F252C0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3E519A" w:rsidRDefault="00F252C0" w:rsidP="00F857A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615AFD" w:rsidP="00F857A1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6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615AFD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7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615AFD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8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Артуро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proofErr w:type="gramStart"/>
            <w:r>
              <w:rPr>
                <w:iCs/>
                <w:sz w:val="22"/>
                <w:szCs w:val="22"/>
                <w:lang w:eastAsia="ar-SA"/>
              </w:rPr>
              <w:t>СПб.:</w:t>
            </w:r>
            <w:proofErr w:type="gramEnd"/>
            <w:r>
              <w:rPr>
                <w:iCs/>
                <w:sz w:val="22"/>
                <w:szCs w:val="22"/>
                <w:lang w:eastAsia="ar-SA"/>
              </w:rPr>
              <w:t xml:space="preserve">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615AFD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9" w:history="1">
              <w:r w:rsidR="00F252C0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F252C0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440B75" w:rsidRDefault="00F252C0" w:rsidP="00F857A1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615AFD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20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2C0" w:rsidRPr="00D44851" w:rsidRDefault="00F252C0" w:rsidP="00F857A1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252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 по самостоятельной работе студентов по дисциплине «</w:t>
            </w:r>
            <w:r w:rsidR="00410243">
              <w:rPr>
                <w:i/>
                <w:sz w:val="20"/>
                <w:szCs w:val="20"/>
                <w:lang w:eastAsia="ar-SA"/>
              </w:rPr>
              <w:t>Методика работы с солистами</w:t>
            </w:r>
            <w:r>
              <w:rPr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E77C30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E77C30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F252C0" w:rsidRPr="00E77C30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7C30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252C0" w:rsidRDefault="00F252C0" w:rsidP="00F252C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710"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61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61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61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61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61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2E15AD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FD" w:rsidRDefault="00615AFD">
      <w:r>
        <w:separator/>
      </w:r>
    </w:p>
  </w:endnote>
  <w:endnote w:type="continuationSeparator" w:id="0">
    <w:p w:rsidR="00615AFD" w:rsidRDefault="0061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FD" w:rsidRDefault="00615AFD">
      <w:r>
        <w:separator/>
      </w:r>
    </w:p>
  </w:footnote>
  <w:footnote w:type="continuationSeparator" w:id="0">
    <w:p w:rsidR="00615AFD" w:rsidRDefault="0061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B1B4D">
      <w:rPr>
        <w:noProof/>
        <w:color w:val="000000"/>
        <w:sz w:val="20"/>
        <w:szCs w:val="20"/>
      </w:rPr>
      <w:t>21</w:t>
    </w:r>
    <w:r>
      <w:rPr>
        <w:color w:val="000000"/>
        <w:sz w:val="20"/>
        <w:szCs w:val="20"/>
      </w:rPr>
      <w:fldChar w:fldCharType="end"/>
    </w:r>
  </w:p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B1B4D">
      <w:rPr>
        <w:noProof/>
        <w:color w:val="000000"/>
        <w:sz w:val="20"/>
        <w:szCs w:val="20"/>
      </w:rPr>
      <w:t>23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19284A99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5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42405268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672B5"/>
    <w:multiLevelType w:val="hybridMultilevel"/>
    <w:tmpl w:val="FF7127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4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6" w15:restartNumberingAfterBreak="0">
    <w:nsid w:val="77B9EBDE"/>
    <w:multiLevelType w:val="hybridMultilevel"/>
    <w:tmpl w:val="EAE11D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7D14752"/>
    <w:multiLevelType w:val="hybridMultilevel"/>
    <w:tmpl w:val="AF87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4"/>
  </w:num>
  <w:num w:numId="3">
    <w:abstractNumId w:val="23"/>
  </w:num>
  <w:num w:numId="4">
    <w:abstractNumId w:val="5"/>
  </w:num>
  <w:num w:numId="5">
    <w:abstractNumId w:val="38"/>
  </w:num>
  <w:num w:numId="6">
    <w:abstractNumId w:val="1"/>
  </w:num>
  <w:num w:numId="7">
    <w:abstractNumId w:val="25"/>
  </w:num>
  <w:num w:numId="8">
    <w:abstractNumId w:val="28"/>
  </w:num>
  <w:num w:numId="9">
    <w:abstractNumId w:val="4"/>
  </w:num>
  <w:num w:numId="10">
    <w:abstractNumId w:val="35"/>
  </w:num>
  <w:num w:numId="11">
    <w:abstractNumId w:val="17"/>
  </w:num>
  <w:num w:numId="12">
    <w:abstractNumId w:val="19"/>
  </w:num>
  <w:num w:numId="13">
    <w:abstractNumId w:val="7"/>
  </w:num>
  <w:num w:numId="14">
    <w:abstractNumId w:val="20"/>
  </w:num>
  <w:num w:numId="15">
    <w:abstractNumId w:val="9"/>
  </w:num>
  <w:num w:numId="16">
    <w:abstractNumId w:val="15"/>
  </w:num>
  <w:num w:numId="17">
    <w:abstractNumId w:val="13"/>
  </w:num>
  <w:num w:numId="18">
    <w:abstractNumId w:val="12"/>
  </w:num>
  <w:num w:numId="19">
    <w:abstractNumId w:val="21"/>
  </w:num>
  <w:num w:numId="20">
    <w:abstractNumId w:val="16"/>
  </w:num>
  <w:num w:numId="21">
    <w:abstractNumId w:val="29"/>
  </w:num>
  <w:num w:numId="22">
    <w:abstractNumId w:val="24"/>
  </w:num>
  <w:num w:numId="23">
    <w:abstractNumId w:val="8"/>
  </w:num>
  <w:num w:numId="24">
    <w:abstractNumId w:val="22"/>
  </w:num>
  <w:num w:numId="25">
    <w:abstractNumId w:val="0"/>
  </w:num>
  <w:num w:numId="26">
    <w:abstractNumId w:val="33"/>
  </w:num>
  <w:num w:numId="27">
    <w:abstractNumId w:val="14"/>
  </w:num>
  <w:num w:numId="28">
    <w:abstractNumId w:val="2"/>
  </w:num>
  <w:num w:numId="29">
    <w:abstractNumId w:val="11"/>
  </w:num>
  <w:num w:numId="30">
    <w:abstractNumId w:val="18"/>
  </w:num>
  <w:num w:numId="31">
    <w:abstractNumId w:val="27"/>
  </w:num>
  <w:num w:numId="32">
    <w:abstractNumId w:val="37"/>
  </w:num>
  <w:num w:numId="33">
    <w:abstractNumId w:val="31"/>
  </w:num>
  <w:num w:numId="34">
    <w:abstractNumId w:val="32"/>
  </w:num>
  <w:num w:numId="35">
    <w:abstractNumId w:val="3"/>
  </w:num>
  <w:num w:numId="36">
    <w:abstractNumId w:val="30"/>
  </w:num>
  <w:num w:numId="37">
    <w:abstractNumId w:val="26"/>
  </w:num>
  <w:num w:numId="38">
    <w:abstractNumId w:val="1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539F"/>
    <w:rsid w:val="00056F46"/>
    <w:rsid w:val="00066489"/>
    <w:rsid w:val="00075E60"/>
    <w:rsid w:val="000B052B"/>
    <w:rsid w:val="000B1B4D"/>
    <w:rsid w:val="0012326F"/>
    <w:rsid w:val="00165202"/>
    <w:rsid w:val="00174A3A"/>
    <w:rsid w:val="00175B33"/>
    <w:rsid w:val="00177D09"/>
    <w:rsid w:val="00184238"/>
    <w:rsid w:val="001872A7"/>
    <w:rsid w:val="00191662"/>
    <w:rsid w:val="001D0F8E"/>
    <w:rsid w:val="001D6D14"/>
    <w:rsid w:val="001F04F6"/>
    <w:rsid w:val="00225673"/>
    <w:rsid w:val="00234513"/>
    <w:rsid w:val="0023725F"/>
    <w:rsid w:val="00246E5D"/>
    <w:rsid w:val="00260616"/>
    <w:rsid w:val="00274FEE"/>
    <w:rsid w:val="0028001D"/>
    <w:rsid w:val="002815ED"/>
    <w:rsid w:val="002B31B5"/>
    <w:rsid w:val="002C2537"/>
    <w:rsid w:val="002E15AD"/>
    <w:rsid w:val="00304217"/>
    <w:rsid w:val="003079C4"/>
    <w:rsid w:val="00310197"/>
    <w:rsid w:val="0031215D"/>
    <w:rsid w:val="003373C8"/>
    <w:rsid w:val="003A1A33"/>
    <w:rsid w:val="003B1E77"/>
    <w:rsid w:val="003D07E9"/>
    <w:rsid w:val="00410243"/>
    <w:rsid w:val="00432820"/>
    <w:rsid w:val="004365F6"/>
    <w:rsid w:val="00487BC1"/>
    <w:rsid w:val="004904FA"/>
    <w:rsid w:val="004A2B2D"/>
    <w:rsid w:val="004A5663"/>
    <w:rsid w:val="004A5E72"/>
    <w:rsid w:val="004B56C5"/>
    <w:rsid w:val="004C1829"/>
    <w:rsid w:val="00510429"/>
    <w:rsid w:val="00512D31"/>
    <w:rsid w:val="00543318"/>
    <w:rsid w:val="005470EA"/>
    <w:rsid w:val="00564F50"/>
    <w:rsid w:val="00572FF1"/>
    <w:rsid w:val="0057492A"/>
    <w:rsid w:val="00587AB9"/>
    <w:rsid w:val="00596F30"/>
    <w:rsid w:val="005A393A"/>
    <w:rsid w:val="005A6687"/>
    <w:rsid w:val="005A7ABF"/>
    <w:rsid w:val="005B62F2"/>
    <w:rsid w:val="005D1A40"/>
    <w:rsid w:val="005E5F6B"/>
    <w:rsid w:val="005F00E3"/>
    <w:rsid w:val="005F1CE5"/>
    <w:rsid w:val="00612C92"/>
    <w:rsid w:val="00615AFD"/>
    <w:rsid w:val="00620BEE"/>
    <w:rsid w:val="0063757A"/>
    <w:rsid w:val="00696AC0"/>
    <w:rsid w:val="006A2207"/>
    <w:rsid w:val="00715108"/>
    <w:rsid w:val="0071653B"/>
    <w:rsid w:val="00744EEE"/>
    <w:rsid w:val="00787E83"/>
    <w:rsid w:val="007A75DC"/>
    <w:rsid w:val="007E5DBC"/>
    <w:rsid w:val="00833826"/>
    <w:rsid w:val="0086704C"/>
    <w:rsid w:val="0086743E"/>
    <w:rsid w:val="0087735E"/>
    <w:rsid w:val="0088690F"/>
    <w:rsid w:val="00892B7D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C125F"/>
    <w:rsid w:val="009D7F25"/>
    <w:rsid w:val="009F01EB"/>
    <w:rsid w:val="009F31B1"/>
    <w:rsid w:val="009F3339"/>
    <w:rsid w:val="009F404C"/>
    <w:rsid w:val="00A13132"/>
    <w:rsid w:val="00A31405"/>
    <w:rsid w:val="00A623CA"/>
    <w:rsid w:val="00A63154"/>
    <w:rsid w:val="00A65B44"/>
    <w:rsid w:val="00B1511B"/>
    <w:rsid w:val="00B2790D"/>
    <w:rsid w:val="00B374F1"/>
    <w:rsid w:val="00B5135A"/>
    <w:rsid w:val="00B73229"/>
    <w:rsid w:val="00BC398A"/>
    <w:rsid w:val="00BC6DA4"/>
    <w:rsid w:val="00BF1C89"/>
    <w:rsid w:val="00BF3AD6"/>
    <w:rsid w:val="00C068EA"/>
    <w:rsid w:val="00C22F65"/>
    <w:rsid w:val="00C46DB4"/>
    <w:rsid w:val="00C57657"/>
    <w:rsid w:val="00C87F28"/>
    <w:rsid w:val="00C952E9"/>
    <w:rsid w:val="00CA351C"/>
    <w:rsid w:val="00CA3550"/>
    <w:rsid w:val="00CA6C9C"/>
    <w:rsid w:val="00CA7B27"/>
    <w:rsid w:val="00CC6427"/>
    <w:rsid w:val="00CE1096"/>
    <w:rsid w:val="00CE3C00"/>
    <w:rsid w:val="00CF5DC2"/>
    <w:rsid w:val="00D06168"/>
    <w:rsid w:val="00D463F8"/>
    <w:rsid w:val="00D7600E"/>
    <w:rsid w:val="00D85EA3"/>
    <w:rsid w:val="00DB51D8"/>
    <w:rsid w:val="00DE0471"/>
    <w:rsid w:val="00DF0AB8"/>
    <w:rsid w:val="00E17E30"/>
    <w:rsid w:val="00E57EC7"/>
    <w:rsid w:val="00EC656C"/>
    <w:rsid w:val="00EF0E79"/>
    <w:rsid w:val="00F06A60"/>
    <w:rsid w:val="00F252C0"/>
    <w:rsid w:val="00F419B6"/>
    <w:rsid w:val="00F62456"/>
    <w:rsid w:val="00F75FF6"/>
    <w:rsid w:val="00F81134"/>
    <w:rsid w:val="00F857A1"/>
    <w:rsid w:val="00F97A46"/>
    <w:rsid w:val="00FC5ACD"/>
    <w:rsid w:val="00FC7D34"/>
    <w:rsid w:val="00FD414A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5A6687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5331</Words>
  <Characters>30391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5</cp:revision>
  <dcterms:created xsi:type="dcterms:W3CDTF">2022-06-02T14:21:00Z</dcterms:created>
  <dcterms:modified xsi:type="dcterms:W3CDTF">2022-06-02T14:33:00Z</dcterms:modified>
</cp:coreProperties>
</file>