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02AB80D6" w:rsidR="00831775" w:rsidRPr="00D97D6F" w:rsidRDefault="00831775" w:rsidP="00831775">
            <w:pPr>
              <w:rPr>
                <w:sz w:val="26"/>
                <w:szCs w:val="26"/>
              </w:rPr>
            </w:pPr>
            <w:r w:rsidRPr="003E5469">
              <w:rPr>
                <w:sz w:val="24"/>
                <w:szCs w:val="24"/>
              </w:rPr>
              <w:t xml:space="preserve">54.03.01 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556DCAA3" w:rsidR="00831775" w:rsidRPr="00D97D6F" w:rsidRDefault="00831775" w:rsidP="00831775">
            <w:pPr>
              <w:rPr>
                <w:sz w:val="26"/>
                <w:szCs w:val="26"/>
              </w:rPr>
            </w:pPr>
            <w:r w:rsidRPr="003E5469">
              <w:rPr>
                <w:sz w:val="24"/>
                <w:szCs w:val="24"/>
              </w:rPr>
              <w:t xml:space="preserve">Дизайн 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13C0D941" w:rsidR="008D5AFE" w:rsidRPr="00D97D6F" w:rsidRDefault="003E4268" w:rsidP="00B96C2D">
            <w:pPr>
              <w:rPr>
                <w:sz w:val="26"/>
                <w:szCs w:val="26"/>
              </w:rPr>
            </w:pPr>
            <w:r w:rsidRPr="003E4268">
              <w:rPr>
                <w:sz w:val="24"/>
                <w:szCs w:val="24"/>
              </w:rPr>
              <w:t>Дизайн архитектурной среды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73ABC36F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766E2CEC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3AF093AC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831775">
        <w:rPr>
          <w:sz w:val="24"/>
          <w:szCs w:val="24"/>
        </w:rPr>
        <w:t>восьмом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0B20059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20A3B252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63754" w:rsidRPr="00F31E81" w14:paraId="329AD998" w14:textId="77777777" w:rsidTr="001024E0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4A12C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lastRenderedPageBreak/>
              <w:t>ПК – 3</w:t>
            </w:r>
          </w:p>
          <w:p w14:paraId="718A0ECB" w14:textId="5D47BE58" w:rsidR="00563754" w:rsidRPr="00A81BFC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27FBF">
              <w:rPr>
                <w:iCs/>
                <w:sz w:val="22"/>
                <w:szCs w:val="22"/>
              </w:rPr>
              <w:t>Способен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50DEF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  <w:r w:rsidRPr="00036821">
              <w:rPr>
                <w:color w:val="000000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8668877" w14:textId="0084524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2DD8" w14:textId="77777777" w:rsidR="005A116C" w:rsidRPr="0085221A" w:rsidRDefault="00BD7959" w:rsidP="000853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F97152">
              <w:rPr>
                <w:rFonts w:eastAsia="Times New Roman"/>
              </w:rPr>
              <w:t xml:space="preserve"> </w:t>
            </w:r>
            <w:r w:rsidR="005A116C" w:rsidRPr="00F97152">
              <w:rPr>
                <w:rFonts w:eastAsia="Times New Roman"/>
              </w:rPr>
              <w:t xml:space="preserve"> проводит </w:t>
            </w:r>
            <w:r w:rsidR="005A116C" w:rsidRPr="0085221A">
              <w:rPr>
                <w:rFonts w:eastAsia="Times New Roman"/>
              </w:rPr>
              <w:t>сравнительный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анализ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зарубежных и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отечественных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воспитательных</w:t>
            </w:r>
            <w:r w:rsidR="005A116C" w:rsidRPr="00F97152">
              <w:rPr>
                <w:rFonts w:eastAsia="Times New Roman"/>
              </w:rPr>
              <w:t xml:space="preserve"> моделей;</w:t>
            </w:r>
          </w:p>
          <w:p w14:paraId="1981B7E6" w14:textId="77777777" w:rsidR="00BD7959" w:rsidRPr="00F97152" w:rsidRDefault="005A116C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>-</w:t>
            </w:r>
            <w:r w:rsidR="00BD7959" w:rsidRPr="00F97152">
              <w:rPr>
                <w:rFonts w:eastAsia="Times New Roman"/>
              </w:rPr>
              <w:t xml:space="preserve"> использует теоретические знания для </w:t>
            </w:r>
            <w:r w:rsidR="00BD7959" w:rsidRPr="008129A4">
              <w:rPr>
                <w:rFonts w:eastAsia="Times New Roman"/>
              </w:rPr>
              <w:t>обоснов</w:t>
            </w:r>
            <w:r w:rsidR="00BD7959" w:rsidRPr="00F97152">
              <w:rPr>
                <w:rFonts w:eastAsia="Times New Roman"/>
              </w:rPr>
              <w:t xml:space="preserve">ания </w:t>
            </w:r>
            <w:r w:rsidR="00BD7959" w:rsidRPr="008129A4">
              <w:rPr>
                <w:rFonts w:eastAsia="Times New Roman"/>
              </w:rPr>
              <w:t xml:space="preserve"> выбор</w:t>
            </w:r>
            <w:r w:rsidR="00BD7959" w:rsidRPr="00F97152">
              <w:rPr>
                <w:rFonts w:eastAsia="Times New Roman"/>
              </w:rPr>
              <w:t>а</w:t>
            </w:r>
            <w:r w:rsidR="00BD7959" w:rsidRPr="008129A4">
              <w:rPr>
                <w:rFonts w:eastAsia="Times New Roman"/>
              </w:rPr>
              <w:t xml:space="preserve"> форм, методов 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средств взаимодействия с участниками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образовательных отношений в рамках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образования;</w:t>
            </w:r>
          </w:p>
          <w:p w14:paraId="2078B2EC" w14:textId="77777777" w:rsidR="00E958C8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F97152">
              <w:rPr>
                <w:rFonts w:eastAsia="Times New Roman"/>
              </w:rPr>
              <w:t xml:space="preserve">ует  </w:t>
            </w:r>
            <w:proofErr w:type="spellStart"/>
            <w:r w:rsidR="00DA60E3">
              <w:rPr>
                <w:rFonts w:eastAsia="Times New Roman"/>
              </w:rPr>
              <w:t>обраазовательную</w:t>
            </w:r>
            <w:proofErr w:type="spellEnd"/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деятельность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F97152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="00E958C8" w:rsidRPr="00F97152">
              <w:rPr>
                <w:rFonts w:eastAsia="Times New Roman"/>
              </w:rPr>
              <w:t xml:space="preserve"> законов,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закономерностей,</w:t>
            </w:r>
            <w:r w:rsidR="00E958C8"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F97152">
              <w:rPr>
                <w:rFonts w:eastAsia="Times New Roman"/>
              </w:rPr>
              <w:t xml:space="preserve">   </w:t>
            </w:r>
            <w:r w:rsidR="00E958C8" w:rsidRPr="00F97152">
              <w:rPr>
                <w:rFonts w:eastAsia="Times New Roman"/>
              </w:rPr>
              <w:t>при</w:t>
            </w:r>
            <w:r w:rsidR="00E958C8" w:rsidRPr="00F97152">
              <w:rPr>
                <w:color w:val="000000"/>
              </w:rPr>
              <w:t xml:space="preserve"> решении</w:t>
            </w:r>
            <w:r w:rsidRPr="00F97152">
              <w:rPr>
                <w:color w:val="000000"/>
              </w:rPr>
              <w:t xml:space="preserve"> конкретной проблемы отдельных лиц, групп населения и  организаций</w:t>
            </w:r>
            <w:r w:rsidR="00E958C8" w:rsidRPr="00F97152">
              <w:rPr>
                <w:color w:val="000000"/>
              </w:rPr>
              <w:t>;</w:t>
            </w:r>
          </w:p>
          <w:p w14:paraId="5174BC55" w14:textId="77777777" w:rsidR="00563754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 xml:space="preserve">  </w:t>
            </w:r>
            <w:r w:rsidR="00E958C8" w:rsidRPr="00F97152">
              <w:rPr>
                <w:rFonts w:eastAsia="Times New Roman"/>
              </w:rPr>
              <w:t>- выявляет поведенческие</w:t>
            </w:r>
            <w:r w:rsidR="00E958C8" w:rsidRPr="008129A4">
              <w:rPr>
                <w:rFonts w:eastAsia="Times New Roman"/>
              </w:rPr>
              <w:t xml:space="preserve"> и</w:t>
            </w:r>
            <w:r w:rsidR="00E958C8" w:rsidRPr="00F97152">
              <w:rPr>
                <w:rFonts w:eastAsia="Times New Roman"/>
              </w:rPr>
              <w:t xml:space="preserve"> </w:t>
            </w:r>
            <w:r w:rsidR="00E958C8" w:rsidRPr="008129A4">
              <w:rPr>
                <w:rFonts w:eastAsia="Times New Roman"/>
              </w:rPr>
              <w:t>личностны</w:t>
            </w:r>
            <w:r w:rsidR="00E958C8" w:rsidRPr="00F97152">
              <w:rPr>
                <w:rFonts w:eastAsia="Times New Roman"/>
              </w:rPr>
              <w:t xml:space="preserve">е </w:t>
            </w:r>
            <w:r w:rsidR="00E958C8" w:rsidRPr="008129A4">
              <w:rPr>
                <w:rFonts w:eastAsia="Times New Roman"/>
              </w:rPr>
              <w:t>проблем</w:t>
            </w:r>
            <w:r w:rsidR="00E958C8" w:rsidRPr="00F97152">
              <w:rPr>
                <w:rFonts w:eastAsia="Times New Roman"/>
              </w:rPr>
              <w:t xml:space="preserve">ы </w:t>
            </w:r>
            <w:r w:rsidR="00E958C8" w:rsidRPr="00F97152">
              <w:rPr>
                <w:color w:val="000000"/>
              </w:rPr>
              <w:t xml:space="preserve">отдельных лиц и групп, том числе лиц с ограниченными возможностями здоровья для определения форм, методов и </w:t>
            </w:r>
            <w:r w:rsidR="000853AE" w:rsidRPr="00F97152">
              <w:rPr>
                <w:color w:val="000000"/>
              </w:rPr>
              <w:t xml:space="preserve">подбора </w:t>
            </w:r>
            <w:r w:rsidR="00E958C8" w:rsidRPr="00F97152">
              <w:rPr>
                <w:color w:val="000000"/>
              </w:rPr>
              <w:t>образовательных технологий с целью психолого-педагогического вмешательства и поддержки;</w:t>
            </w:r>
          </w:p>
          <w:p w14:paraId="0669F65A" w14:textId="77777777" w:rsidR="000853AE" w:rsidRPr="005A5905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t>-</w:t>
            </w:r>
            <w:r w:rsidR="000853AE" w:rsidRPr="00F97152">
              <w:t xml:space="preserve"> </w:t>
            </w:r>
            <w:r w:rsidR="000853AE" w:rsidRPr="00F97152">
              <w:rPr>
                <w:rFonts w:eastAsia="Times New Roman"/>
              </w:rPr>
              <w:t>п</w:t>
            </w:r>
            <w:r w:rsidR="000853AE" w:rsidRPr="005A5905">
              <w:rPr>
                <w:rFonts w:eastAsia="Times New Roman"/>
              </w:rPr>
              <w:t>роектир</w:t>
            </w:r>
            <w:r w:rsidR="000853AE" w:rsidRPr="00F97152">
              <w:rPr>
                <w:rFonts w:eastAsia="Times New Roman"/>
              </w:rPr>
              <w:t xml:space="preserve">ует </w:t>
            </w:r>
            <w:r w:rsidR="000853AE" w:rsidRPr="005A5905">
              <w:rPr>
                <w:rFonts w:eastAsia="Times New Roman"/>
              </w:rPr>
              <w:t>образовательную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деятельность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обучающихся</w:t>
            </w:r>
            <w:r w:rsidR="000853AE" w:rsidRPr="00F97152">
              <w:rPr>
                <w:rFonts w:eastAsia="Times New Roman"/>
              </w:rPr>
              <w:t xml:space="preserve">, достижение им </w:t>
            </w:r>
            <w:r w:rsidR="000853AE" w:rsidRPr="005A5905">
              <w:rPr>
                <w:rFonts w:eastAsia="Times New Roman"/>
              </w:rPr>
              <w:t>личностных,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метапредметных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результатов обучения в ходе реализации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 xml:space="preserve">образовательных </w:t>
            </w:r>
            <w:r w:rsidR="000853AE" w:rsidRPr="00F97152">
              <w:rPr>
                <w:rFonts w:eastAsia="Times New Roman"/>
              </w:rPr>
              <w:t xml:space="preserve">и </w:t>
            </w:r>
            <w:r w:rsidR="000853AE" w:rsidRPr="00F97152">
              <w:rPr>
                <w:color w:val="000000"/>
              </w:rPr>
              <w:t>коррекционно-развивающих  программ, в том числе при оказании психологической помощи</w:t>
            </w:r>
          </w:p>
          <w:p w14:paraId="2A1C9CA2" w14:textId="77777777" w:rsidR="005E13C0" w:rsidRPr="00F97152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 xml:space="preserve">- </w:t>
            </w:r>
            <w:r w:rsidRPr="008A1B15">
              <w:rPr>
                <w:rFonts w:eastAsia="Times New Roman"/>
              </w:rPr>
              <w:t>защища</w:t>
            </w:r>
            <w:r w:rsidR="000853AE" w:rsidRPr="00F97152">
              <w:rPr>
                <w:rFonts w:eastAsia="Times New Roman"/>
              </w:rPr>
              <w:t>ет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достоинство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интересы</w:t>
            </w:r>
            <w:r w:rsidRPr="00F97152">
              <w:rPr>
                <w:rFonts w:eastAsia="Times New Roman"/>
              </w:rPr>
              <w:t xml:space="preserve">  </w:t>
            </w:r>
            <w:r w:rsidRPr="008A1B15">
              <w:rPr>
                <w:rFonts w:eastAsia="Times New Roman"/>
              </w:rPr>
              <w:t>обучающихся с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учетом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социальных,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возрастных,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психофизических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индивидуальны</w:t>
            </w:r>
            <w:r w:rsidR="000853AE" w:rsidRPr="00F97152">
              <w:rPr>
                <w:rFonts w:eastAsia="Times New Roman"/>
              </w:rPr>
              <w:t xml:space="preserve">х особенностей в процессе оказания </w:t>
            </w:r>
            <w:r w:rsidR="000853AE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  <w:p w14:paraId="26B1C6B3" w14:textId="77777777" w:rsidR="005E13C0" w:rsidRPr="00F97152" w:rsidRDefault="005E13C0" w:rsidP="005E13C0">
            <w:pPr>
              <w:jc w:val="both"/>
              <w:rPr>
                <w:rFonts w:eastAsia="Times New Roman"/>
              </w:rPr>
            </w:pPr>
          </w:p>
          <w:p w14:paraId="0D207E52" w14:textId="77777777" w:rsidR="005E13C0" w:rsidRPr="00231249" w:rsidRDefault="005E13C0" w:rsidP="005E13C0">
            <w:pPr>
              <w:jc w:val="both"/>
              <w:rPr>
                <w:b/>
              </w:rPr>
            </w:pPr>
          </w:p>
        </w:tc>
      </w:tr>
      <w:tr w:rsidR="00831775" w:rsidRPr="00F31E81" w14:paraId="0F90F6F9" w14:textId="77777777" w:rsidTr="0084152D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831775" w:rsidRDefault="00831775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DC3EF5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33A1886E" w14:textId="58682C7F" w:rsidR="00831775" w:rsidRPr="00563754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831775" w:rsidRPr="00231249" w:rsidRDefault="00831775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9E08BF" w:rsidRPr="00F31E81" w14:paraId="37B9038C" w14:textId="77777777" w:rsidTr="00EA244D">
        <w:trPr>
          <w:trHeight w:val="2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C142EF" w14:textId="77777777" w:rsidR="00831775" w:rsidRPr="00563754" w:rsidRDefault="00831775" w:rsidP="0083177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Способен</w:t>
            </w:r>
            <w:r w:rsidRPr="00036821">
              <w:rPr>
                <w:color w:val="000000"/>
                <w:sz w:val="22"/>
                <w:szCs w:val="22"/>
              </w:rPr>
              <w:t xml:space="preserve"> осуществлять педагогическую деятельность в сфере дошкольного, начального общего, </w:t>
            </w:r>
            <w:r w:rsidRPr="00036821">
              <w:rPr>
                <w:color w:val="000000"/>
                <w:sz w:val="22"/>
                <w:szCs w:val="22"/>
              </w:rPr>
              <w:lastRenderedPageBreak/>
              <w:t>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8A5214" w14:textId="77777777" w:rsidR="009E08BF" w:rsidRDefault="009E08BF" w:rsidP="00B96C2D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2A2B6" w14:textId="77777777" w:rsidR="003E4268" w:rsidRDefault="003E4268" w:rsidP="003E4268">
            <w:pPr>
              <w:jc w:val="both"/>
            </w:pPr>
            <w:r w:rsidRPr="00EF75D0">
              <w:lastRenderedPageBreak/>
              <w:t>ИД-ОПК-7.</w:t>
            </w:r>
            <w:r>
              <w:t>1</w:t>
            </w:r>
          </w:p>
          <w:p w14:paraId="580FBD6B" w14:textId="10674876" w:rsidR="003E4268" w:rsidRDefault="003E4268" w:rsidP="009E08BF">
            <w:pPr>
              <w:rPr>
                <w:color w:val="000000"/>
              </w:rPr>
            </w:pPr>
            <w:r w:rsidRPr="003E4268">
              <w:rPr>
                <w:color w:val="000000"/>
              </w:rPr>
              <w:t xml:space="preserve">Применение основных особенностей организации образовательного процесса и методической работы;  </w:t>
            </w:r>
          </w:p>
          <w:p w14:paraId="3D632F92" w14:textId="0B2CFD2C" w:rsidR="009E08BF" w:rsidRPr="00563754" w:rsidRDefault="009E08BF" w:rsidP="009E08BF"/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24B8C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18D066E2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0E07AA5F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знакомит с основными теоретическими моделями и методами  обучения и воспитания  детей и взрослых, обращающихся за психологической помощью;</w:t>
            </w:r>
          </w:p>
          <w:p w14:paraId="571FAFD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раскрывает основные закономерности   психолого-педагогического взаимодействия и специфику влияния </w:t>
            </w:r>
            <w:r w:rsidRPr="00F97152">
              <w:rPr>
                <w:sz w:val="22"/>
                <w:szCs w:val="22"/>
              </w:rPr>
              <w:lastRenderedPageBreak/>
              <w:t>на личность воспитания и обучения  в процессе проведения просветительских бесед;</w:t>
            </w:r>
          </w:p>
          <w:p w14:paraId="75A8AC54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 осуществляет поиск материалов   для планирования  просветительских занятий  в соответствии с запросами клиентов на психологическую  помощь;</w:t>
            </w:r>
          </w:p>
          <w:p w14:paraId="62E816B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с  родителями  и их детьми с ОВЗ, направленными на психолого-педагогическое просвещение;</w:t>
            </w:r>
          </w:p>
          <w:p w14:paraId="7CBB47A8" w14:textId="77777777" w:rsidR="009E08BF" w:rsidRPr="00101060" w:rsidRDefault="009E08BF" w:rsidP="00F646AC">
            <w:pPr>
              <w:jc w:val="both"/>
              <w:rPr>
                <w:iCs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831775" w:rsidRPr="00F31E81" w14:paraId="0040FA2B" w14:textId="77777777" w:rsidTr="005E1BB8">
        <w:trPr>
          <w:trHeight w:val="389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9F417" w14:textId="77777777" w:rsidR="00831775" w:rsidRPr="00563754" w:rsidRDefault="00831775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BD172C" w14:textId="28D56FA3" w:rsidR="00831775" w:rsidRPr="00563754" w:rsidRDefault="003E4268" w:rsidP="009E08BF">
            <w:pPr>
              <w:rPr>
                <w:rFonts w:eastAsia="Times New Roman"/>
                <w:color w:val="000000"/>
              </w:rPr>
            </w:pPr>
            <w:r w:rsidRPr="00036821">
              <w:rPr>
                <w:color w:val="000000"/>
              </w:rPr>
              <w:t>ИД-ОПК-7.2</w:t>
            </w:r>
            <w:r>
              <w:rPr>
                <w:color w:val="000000"/>
              </w:rPr>
              <w:t xml:space="preserve"> </w:t>
            </w:r>
            <w:r w:rsidRPr="00036821">
              <w:rPr>
                <w:color w:val="000000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EC4CE" w14:textId="77777777" w:rsidR="00831775" w:rsidRDefault="00831775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bookmarkEnd w:id="11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495F2843" w:rsidR="008D5AFE" w:rsidRPr="00BC2378" w:rsidRDefault="00713A5E" w:rsidP="00B96C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14860082" w14:textId="5FC48DC1" w:rsidR="008D5AFE" w:rsidRPr="00F53223" w:rsidRDefault="00713A5E" w:rsidP="007B1898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3CE488D" w14:textId="0EA154C6" w:rsidR="008D5AFE" w:rsidRPr="00F53223" w:rsidRDefault="00713A5E" w:rsidP="006C2E3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752B50C6" w:rsidR="008D5AFE" w:rsidRPr="00F53223" w:rsidRDefault="00713A5E" w:rsidP="006C2E3B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C22A7E4" w14:textId="4E620F3F" w:rsidR="008D5AFE" w:rsidRPr="00B02E88" w:rsidRDefault="00713A5E" w:rsidP="006C2E3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388FAC39" w14:textId="0AB406C8" w:rsidR="008D5AFE" w:rsidRPr="00B02E88" w:rsidRDefault="00713A5E" w:rsidP="007B1898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00965269" w:rsidR="008D5AFE" w:rsidRPr="00B02E88" w:rsidRDefault="00713A5E" w:rsidP="006C2E3B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4A4CE867" w:rsidR="008D5AFE" w:rsidRPr="00DC6B79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5D9564CE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7C8636C" w14:textId="77777777" w:rsidR="007B1898" w:rsidRDefault="00713A5E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3.4.</w:t>
            </w:r>
          </w:p>
          <w:p w14:paraId="578A0295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4F5E07E0" w14:textId="2D217669" w:rsidR="00713A5E" w:rsidRPr="00351AE6" w:rsidRDefault="00713A5E" w:rsidP="004E6086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73BFBAC5" w:rsidR="008D5AFE" w:rsidRPr="00C239C3" w:rsidRDefault="00713A5E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77777777" w:rsidR="00972756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2C8F3169" w:rsidR="008D5AFE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70C3E377" w:rsidR="008D5AFE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3C9C16D1" w:rsidR="008D5AFE" w:rsidRPr="005B225F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31DB0284" w:rsidR="008D5AFE" w:rsidRDefault="00713A5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1D6959D0" w:rsidR="008D5AFE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26FDB297" w14:textId="6DD13AED" w:rsidR="00984D72" w:rsidRDefault="00713A5E" w:rsidP="00776DE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</w:p>
          <w:p w14:paraId="0ECE9A6D" w14:textId="150B620A" w:rsidR="003E4268" w:rsidRDefault="003E4268" w:rsidP="00776DE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ИД-ОПК-7.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6E6C0298" w14:textId="6DB91B8D" w:rsidR="00713A5E" w:rsidRDefault="00713A5E" w:rsidP="00776DE3">
            <w:pPr>
              <w:pStyle w:val="pboth"/>
              <w:spacing w:before="0" w:beforeAutospacing="0" w:after="0" w:afterAutospacing="0"/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77777777" w:rsidR="00984D72" w:rsidRPr="00C239C3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440FE523" w:rsidR="00984D72" w:rsidRPr="005B225F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7BE84150" w:rsidR="00984D72" w:rsidRPr="00C239C3" w:rsidRDefault="00713A5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4497B87F" w:rsidR="00984D72" w:rsidRPr="005B225F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4680A765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0A2D27A7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7D459240" w:rsidR="00984D72" w:rsidRPr="006541EC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6FD9A272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4717E440" w:rsidR="00984D72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0BDC1A4B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5E97635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3.4.</w:t>
            </w:r>
          </w:p>
          <w:p w14:paraId="656FEAE3" w14:textId="77777777" w:rsidR="000640C6" w:rsidRPr="006168DD" w:rsidRDefault="000640C6" w:rsidP="00713A5E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66F1ACF7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5991618E" w:rsidR="000640C6" w:rsidRPr="005B225F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7A8CFC62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12AED949" w:rsidR="000640C6" w:rsidRPr="005B225F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751CA46D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500ABD7E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5946E730" w:rsidR="000640C6" w:rsidRPr="001870E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5F306F32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4B439FF1" w:rsidR="000640C6" w:rsidRPr="001870E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5A42AA91" w:rsidR="000640C6" w:rsidRPr="001870E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1C8030B4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319112AC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5FCE55DA" w14:textId="77777777" w:rsidR="005B74FF" w:rsidRPr="007F67CF" w:rsidRDefault="005B74FF" w:rsidP="00EF041C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44A8E7B8" w:rsidR="005B74FF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1C592D3E" w:rsidR="005B74FF" w:rsidRPr="00FD57E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6CAD8A41" w:rsidR="005B74FF" w:rsidRPr="00C239C3" w:rsidRDefault="00713A5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62C81DE2" w:rsidR="005B74FF" w:rsidRPr="001870E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0AE45FB4" w:rsidR="005B74FF" w:rsidRPr="00BE4B54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37B4F3E2" w:rsidR="005B74FF" w:rsidRPr="00BE4B54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43638EFB" w:rsidR="005B74FF" w:rsidRPr="00FD57E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1C14A66A" w:rsidR="005B74FF" w:rsidRPr="004035DD" w:rsidRDefault="00713A5E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4F6E9DD2" w14:textId="0D1C99BD" w:rsidR="005B74FF" w:rsidRPr="004035DD" w:rsidRDefault="00713A5E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1CFF46BA" w:rsidR="005B74FF" w:rsidRPr="001C1B2E" w:rsidRDefault="00713A5E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77777777" w:rsidR="00713A5E" w:rsidRPr="007F7CA3" w:rsidRDefault="00713A5E" w:rsidP="00423F61">
            <w:pPr>
              <w:jc w:val="center"/>
            </w:pPr>
            <w:r>
              <w:t>16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44187684" w:rsidR="00713A5E" w:rsidRPr="007E3823" w:rsidRDefault="00713A5E" w:rsidP="00423F61">
            <w:pPr>
              <w:jc w:val="center"/>
            </w:pPr>
            <w:r>
              <w:t>16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2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5FA5B040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25E11330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66E8ED5D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18EF72F3" w14:textId="77777777" w:rsidR="00713A5E" w:rsidRDefault="00713A5E" w:rsidP="00CD6C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</w:p>
          <w:p w14:paraId="59751CFC" w14:textId="77777777" w:rsidR="003E4268" w:rsidRDefault="003E4268" w:rsidP="003E426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ИД-ОПК-7.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4E8F39F6" w14:textId="67AF6ADB" w:rsidR="008D5AF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</w:p>
          <w:p w14:paraId="7AAC73DB" w14:textId="60E8659E" w:rsidR="003E4268" w:rsidRPr="0004716C" w:rsidRDefault="003E4268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7A9C809D" w14:textId="77777777" w:rsidR="00713A5E" w:rsidRPr="00971083" w:rsidRDefault="00713A5E" w:rsidP="00713A5E">
            <w:r w:rsidRPr="00971083">
              <w:t>Обучающийся</w:t>
            </w:r>
            <w:r>
              <w:t>:</w:t>
            </w:r>
          </w:p>
          <w:p w14:paraId="60FEF21B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излагает материал</w:t>
            </w:r>
            <w:r w:rsidRPr="00FA06DD">
              <w:t xml:space="preserve"> логично, грамотно, без ошибок; свободно </w:t>
            </w:r>
            <w:r>
              <w:t>оперирует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2F9AE561" w:rsidR="00713A5E" w:rsidRPr="00590FE2" w:rsidRDefault="00713A5E" w:rsidP="00713A5E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2" w:type="dxa"/>
          </w:tcPr>
          <w:p w14:paraId="04693B4F" w14:textId="77777777" w:rsidR="00713A5E" w:rsidRPr="00971083" w:rsidRDefault="00713A5E" w:rsidP="00713A5E">
            <w:r w:rsidRPr="00971083">
              <w:lastRenderedPageBreak/>
              <w:t>Обучающийся</w:t>
            </w:r>
            <w:r>
              <w:t>:</w:t>
            </w:r>
          </w:p>
          <w:p w14:paraId="5415071C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5E74C626" w14:textId="45BEACF7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lastRenderedPageBreak/>
              <w:t>.</w:t>
            </w:r>
          </w:p>
        </w:tc>
      </w:tr>
      <w:tr w:rsidR="00713A5E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713A5E" w:rsidRPr="0004716C" w:rsidRDefault="00713A5E" w:rsidP="00713A5E">
            <w:r w:rsidRPr="0004716C">
              <w:t>повышенный</w:t>
            </w:r>
          </w:p>
        </w:tc>
        <w:tc>
          <w:tcPr>
            <w:tcW w:w="1837" w:type="dxa"/>
          </w:tcPr>
          <w:p w14:paraId="17E3D903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6CA423B7" w14:textId="114D3D52" w:rsidR="00713A5E" w:rsidRPr="00713A5E" w:rsidRDefault="00713A5E" w:rsidP="00713A5E">
            <w:r w:rsidRPr="00FA06DD">
              <w:t>Обучающийся:</w:t>
            </w:r>
            <w:r>
              <w:t xml:space="preserve"> </w:t>
            </w:r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5847D2C0" w14:textId="77777777" w:rsidR="00713A5E" w:rsidRPr="00FA06DD" w:rsidRDefault="00713A5E" w:rsidP="00713A5E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0F5B707F" w14:textId="566D0563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3" w:type="dxa"/>
            <w:gridSpan w:val="2"/>
          </w:tcPr>
          <w:p w14:paraId="4C443391" w14:textId="7E0D6FDE" w:rsidR="00713A5E" w:rsidRPr="00D868C2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13A5E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713A5E" w:rsidRPr="0004716C" w:rsidRDefault="00713A5E" w:rsidP="00713A5E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079B1027" w14:textId="77777777" w:rsidR="00713A5E" w:rsidRPr="00FA06DD" w:rsidRDefault="00713A5E" w:rsidP="00713A5E">
            <w:pPr>
              <w:jc w:val="both"/>
            </w:pPr>
            <w:r w:rsidRPr="00FA06DD">
              <w:t>Обучающийся:</w:t>
            </w:r>
          </w:p>
          <w:p w14:paraId="25A3A3B2" w14:textId="62C75A38" w:rsidR="00713A5E" w:rsidRPr="00590FE2" w:rsidRDefault="00713A5E" w:rsidP="00713A5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73E0FD82" w14:textId="77777777" w:rsidR="00713A5E" w:rsidRPr="00FA06DD" w:rsidRDefault="00713A5E" w:rsidP="00713A5E">
            <w:pPr>
              <w:jc w:val="both"/>
            </w:pPr>
            <w:r w:rsidRPr="00FA06DD">
              <w:lastRenderedPageBreak/>
              <w:t>Обучающийся</w:t>
            </w:r>
          </w:p>
          <w:p w14:paraId="4CEA754C" w14:textId="196A6A5A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</w:t>
            </w:r>
            <w:r w:rsidRPr="00FA06DD">
              <w:lastRenderedPageBreak/>
              <w:t>характеристики сущности  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57C3BE9" w14:textId="43919D1B" w:rsidR="00713A5E" w:rsidRPr="00FA06DD" w:rsidRDefault="00713A5E" w:rsidP="00713A5E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713A5E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713A5E" w:rsidRPr="0004716C" w:rsidRDefault="00713A5E" w:rsidP="00713A5E">
            <w:r w:rsidRPr="0004716C">
              <w:t>низкий</w:t>
            </w:r>
          </w:p>
        </w:tc>
        <w:tc>
          <w:tcPr>
            <w:tcW w:w="1837" w:type="dxa"/>
          </w:tcPr>
          <w:p w14:paraId="4F0B2CB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03B055AC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1ED34FA6" w:rsidR="00713A5E" w:rsidRPr="007443C9" w:rsidRDefault="00713A5E" w:rsidP="00713A5E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08D819BB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lastRenderedPageBreak/>
              <w:t>Обучающийся:</w:t>
            </w:r>
          </w:p>
          <w:p w14:paraId="38BED0B9" w14:textId="655FD53A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1ACBC2DF" w14:textId="41F255F3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69CFC65D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2D0CE8F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6E7B0233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7665548D" w14:textId="77777777" w:rsidR="00F7197E" w:rsidRPr="00D91AC0" w:rsidRDefault="00F7197E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lastRenderedPageBreak/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78344D01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97B0D83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50C20EA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2C0ACC1B" w14:textId="3D581BEE" w:rsidR="008D5AFE" w:rsidRPr="00D91AC0" w:rsidRDefault="008D5AFE" w:rsidP="003D5A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6DAF3924" w14:textId="180F59C2" w:rsidR="003D2945" w:rsidRDefault="003D2945" w:rsidP="003D5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  <w:r w:rsidRPr="00563754">
              <w:rPr>
                <w:color w:val="000000"/>
              </w:rPr>
              <w:t xml:space="preserve"> </w:t>
            </w:r>
          </w:p>
          <w:p w14:paraId="798F6164" w14:textId="77777777" w:rsidR="003E4268" w:rsidRDefault="003E4268" w:rsidP="003E426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ИД-ОПК-7.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1FF326A5" w14:textId="0C984200" w:rsidR="003E4268" w:rsidRDefault="003E4268" w:rsidP="003E4268">
            <w:pPr>
              <w:jc w:val="both"/>
              <w:rPr>
                <w:color w:val="000000"/>
              </w:rPr>
            </w:pPr>
            <w:r w:rsidRPr="00036821">
              <w:rPr>
                <w:color w:val="000000"/>
              </w:rPr>
              <w:t>ИД-ОПК-7.2</w:t>
            </w:r>
          </w:p>
          <w:p w14:paraId="67E4500F" w14:textId="4828B977" w:rsidR="000931B4" w:rsidRPr="00D91AC0" w:rsidRDefault="000931B4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lastRenderedPageBreak/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lastRenderedPageBreak/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2FFC45C3" w14:textId="77777777" w:rsidR="003D2945" w:rsidRDefault="003D2945" w:rsidP="003D2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  <w:r w:rsidRPr="00563754">
              <w:rPr>
                <w:color w:val="000000"/>
              </w:rPr>
              <w:t xml:space="preserve"> </w:t>
            </w:r>
          </w:p>
          <w:p w14:paraId="6DC6AF38" w14:textId="7C0D1D75" w:rsidR="000931B4" w:rsidRPr="00D91AC0" w:rsidRDefault="003D2945" w:rsidP="003D2945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337AB1A4" w:rsidR="008D5AFE" w:rsidRPr="00D12D46" w:rsidRDefault="003D2945" w:rsidP="005B20E1">
            <w:pPr>
              <w:tabs>
                <w:tab w:val="left" w:pos="301"/>
              </w:tabs>
              <w:ind w:left="141"/>
              <w:jc w:val="both"/>
            </w:pPr>
            <w:r>
              <w:t>8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3C57FEF8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6DD43CB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417E721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172ED765" w14:textId="5D5FDE4C" w:rsidR="005B20E1" w:rsidRDefault="003D2945" w:rsidP="005B20E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</w:p>
          <w:p w14:paraId="681CA056" w14:textId="77777777" w:rsidR="003E4268" w:rsidRDefault="003E4268" w:rsidP="003E426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ИД-ОПК-7.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30D6501A" w14:textId="7B09F85B" w:rsidR="003D2945" w:rsidRPr="00D64E13" w:rsidRDefault="003D2945" w:rsidP="005B20E1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EB7E37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EB7E37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 :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EB7E37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EB7E37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EB7E37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EB7E37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EB7E37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EB7E37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4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EB7E37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0EB" w14:textId="77777777" w:rsidR="00EB7E37" w:rsidRDefault="00EB7E37" w:rsidP="005931BE">
      <w:r>
        <w:separator/>
      </w:r>
    </w:p>
  </w:endnote>
  <w:endnote w:type="continuationSeparator" w:id="0">
    <w:p w14:paraId="7738CD03" w14:textId="77777777" w:rsidR="00EB7E37" w:rsidRDefault="00EB7E37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E14F" w14:textId="77777777" w:rsidR="00EB7E37" w:rsidRDefault="00EB7E37" w:rsidP="005931BE">
      <w:r>
        <w:separator/>
      </w:r>
    </w:p>
  </w:footnote>
  <w:footnote w:type="continuationSeparator" w:id="0">
    <w:p w14:paraId="3D1617C5" w14:textId="77777777" w:rsidR="00EB7E37" w:rsidRDefault="00EB7E37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4268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7D7CBF"/>
    <w:rsid w:val="00811236"/>
    <w:rsid w:val="008138D9"/>
    <w:rsid w:val="00816249"/>
    <w:rsid w:val="008169BD"/>
    <w:rsid w:val="008301A0"/>
    <w:rsid w:val="00831775"/>
    <w:rsid w:val="00842CB8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B7E37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29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352</cp:revision>
  <cp:lastPrinted>2022-02-16T18:18:00Z</cp:lastPrinted>
  <dcterms:created xsi:type="dcterms:W3CDTF">2021-12-04T13:57:00Z</dcterms:created>
  <dcterms:modified xsi:type="dcterms:W3CDTF">2022-02-16T18:18:00Z</dcterms:modified>
</cp:coreProperties>
</file>