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Проектно-технологическая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57024930"/>
            <w:bookmarkStart w:id="2" w:name="_Toc62039378"/>
            <w:bookmarkStart w:id="3" w:name="_Toc56765514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56765515"/>
            <w:bookmarkStart w:id="7" w:name="_Toc57022813"/>
            <w:bookmarkStart w:id="8" w:name="_Toc62039379"/>
            <w:bookmarkStart w:id="9" w:name="_Toc57024931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оциология </w:t>
            </w:r>
            <w:r>
              <w:rPr>
                <w:rFonts w:hint="default"/>
                <w:sz w:val="26"/>
                <w:szCs w:val="26"/>
                <w:lang w:val="ru-RU"/>
              </w:rPr>
              <w:t>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</w:rPr>
        <w:t>Проектно-технологическая практика.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восьмой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недели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Проектно-технологическая</w:t>
      </w:r>
      <w:r>
        <w:rPr>
          <w:iCs/>
          <w:sz w:val="24"/>
          <w:szCs w:val="24"/>
        </w:rPr>
        <w:t xml:space="preserve"> практика относится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bookmarkStart w:id="17" w:name="_GoBack"/>
      <w:bookmarkEnd w:id="17"/>
      <w:r>
        <w:rPr>
          <w:iCs/>
          <w:sz w:val="24"/>
          <w:szCs w:val="24"/>
        </w:rPr>
        <w:t>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проектного управления при проведении  социологического исследования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Безопасность жизнедеятельности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Современные социологические теории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Методология и методы социологического исследования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политической элиты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профессионального развития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Демография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Современные информационные технологии в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Визуальная социология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Количественные и качественные методы в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социальных институтов и общностей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организации и проведения научных исследований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риска и безопасности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города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Социальное конструирование в цифровой медиасреде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Социологические основы изучения общественного мнения в сфере моды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и семиотика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 современной рекламы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Психология модного поведения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искусства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История и методология социологических исследований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Педагогика и психология  профессионального обучения социологическим  дисциплинам.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рыночных отношений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Социологические основы творчества кутюрье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Культура  и искусство народов мира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СМИ и политических технологий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управления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Экономическая социология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и проведение социологического исследования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 PR акций и рекламных компаний  в Fashion-индустрии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Управление цифровыми проектами в сфере моды и искусства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Социологический практикум по связям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маркетинга в Fashion-индустрии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Имиджеология, теория и технология образов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экология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Проектная работа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Психология искусства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культуры и образования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психология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Этнология и этнография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труда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кино и театра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Брендинг в индустрии моды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Спонсоринг в индустрии моды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международных отношений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Социологическое сопровождение избирательных компаний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Интегрированные социальные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Антикризисный PR и консалтинг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bookmarkStart w:id="13" w:name="_Hlk88571533"/>
      <w:r>
        <w:rPr>
          <w:iCs/>
          <w:sz w:val="24"/>
          <w:szCs w:val="24"/>
        </w:rPr>
        <w:t xml:space="preserve">формирование профессиональных компетенций по выполнению </w:t>
      </w:r>
      <w:r>
        <w:rPr>
          <w:rFonts w:hint="default"/>
          <w:iCs/>
          <w:sz w:val="24"/>
          <w:szCs w:val="24"/>
          <w:lang w:val="ru-RU"/>
        </w:rPr>
        <w:t>проектно-технологической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iCs/>
          <w:sz w:val="24"/>
          <w:szCs w:val="24"/>
          <w:lang w:val="ru-RU"/>
        </w:rPr>
        <w:t>социологии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социологических исследований</w:t>
      </w:r>
      <w:r>
        <w:rPr>
          <w:iCs/>
          <w:sz w:val="24"/>
          <w:szCs w:val="24"/>
        </w:rPr>
        <w:t xml:space="preserve"> , поиск способов решения конкретной социально</w:t>
      </w:r>
      <w:r>
        <w:rPr>
          <w:iCs/>
          <w:sz w:val="24"/>
          <w:szCs w:val="24"/>
          <w:lang w:val="ru-RU"/>
        </w:rPr>
        <w:t>й</w:t>
      </w:r>
      <w:r>
        <w:rPr>
          <w:iCs/>
          <w:sz w:val="24"/>
          <w:szCs w:val="24"/>
        </w:rPr>
        <w:t xml:space="preserve"> проблемы. </w:t>
      </w:r>
    </w:p>
    <w:bookmarkEnd w:id="12"/>
    <w:p>
      <w:pPr>
        <w:pStyle w:val="3"/>
      </w:pPr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3"/>
          <w:rFonts w:ascii="Times New Roman" w:hAnsi="Times New Roman" w:eastAsiaTheme="minorHAnsi"/>
          <w:iCs/>
          <w:sz w:val="23"/>
          <w:szCs w:val="23"/>
          <w:lang w:eastAsia="en-US"/>
        </w:rPr>
        <w:t>выявлени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eastAsia="en-US"/>
        </w:rPr>
        <w:t xml:space="preserve">е 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 Способен организовать сбор данных при опросе общественного мнения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 Детализация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организовать сбор данных при опросе общественного мнения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 записи, GPS-координаты) и онлайн-интервью  при организации сбора данных опроса общественного мнения;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ИД-ПК-1.2 Разработка полного комплекта отчётных материалов по каждому этапу сбора информации;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ИД-ПК-1.3 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ИД-ПК-1.4Контроль  качества сбора данных с использованием технических средств (аудио- и видео- записи, GPS-координаты) и онлайн-интервью  при организации сбора данных опроса общественного мнения;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ПК-2.Способен подготовить проектное предложение для проведения социологического исследования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 Описание проблемной ситуации и подготовка проектных предложений для проведения социологического исследования;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подготовить проектное предложение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и подготавливает проектные предложения для проведения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Обосновывает актуальность проекта для решения поставленной проблемы;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ИД-ПК-2.2 Обоснование актуальности проекта для решения поставленной проблемы;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 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ИД-ПК-3.1Отбор, анализ и обработка  данных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Отбирает анализирует и обрабатывает данные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и задачи научных исследований в различных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современных исследовательских методов с использованием новейшего отечественного и зарубежного опыта;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ИД-ПК-3.2Формулирование целей и задач научных исследований в различных областях социологии;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ИД-ПК-3.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 в ходе анализа социологических данных современные исследовательские методы с использованием новейшего отечественного и зарубежного опыта;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 Составление и оформление  проектов профессиональной научно-технической документации, научных отчетов и  результатов социологического исследования;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и оформляет  проекты профессиональной научно-технической документации, научных отчетов и  результатов социологического исследования;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ПК-5.Способен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ИД-ПК-5.1 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мнения;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 и особенности их применения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и задач и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Применяет  методы маркетинговых исследований в профессиональной  деятельности;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Участвует в проектных формах работы и реализации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ИД-ПК-5.2Формулирование  цели и задач 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ИД-ПК-5.3Применение  методов маркетинговых исследований в профессиональной  деятельности;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ИД-ПК-5.4Участие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ПК-6.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ИД-ПК-6.1Организация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инструментари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изучения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практик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</w:tc>
      </w:tr>
      <w:bookmarkEnd w:id="14"/>
    </w:tbl>
    <w:p>
      <w:pPr>
        <w:pStyle w:val="3"/>
        <w:keepNext w:val="0"/>
        <w:numPr>
          <w:ilvl w:val="1"/>
          <w:numId w:val="0"/>
        </w:numPr>
        <w:ind w:left="709" w:leftChars="0"/>
        <w:rPr>
          <w:rStyle w:val="46"/>
          <w:rFonts w:eastAsiaTheme="minorHAnsi"/>
          <w:bCs w:val="0"/>
          <w:iCs w:val="0"/>
        </w:rPr>
      </w:pPr>
    </w:p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 w:val="0"/>
                <w:iCs w:val="0"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i w:val="0"/>
                <w:iCs w:val="0"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  <w:r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выбранной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темой практики;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-1.4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-5: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ИД-ПК-5.1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-5.2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ИД-ПК-5.3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-5.4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6: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6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6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8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81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 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социолога в данном подразделении.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Подготовить отчёт, презентацию и дневник по практике и проведенному исследованию.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15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rFonts w:hint="default"/>
          <w:iCs/>
          <w:sz w:val="24"/>
          <w:szCs w:val="24"/>
          <w:lang w:val="ru-RU"/>
        </w:rPr>
        <w:t>, педагогической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индивидуальный план работы практиканта, согласовать его с руководителем практики и утвердить его у директора учреждения.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научно-исследовательскую базу учреждения, условия и возможности для проведения собственного исследования.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Дать общую характеристику конкретной организации (или одного из подразделений крупной организации).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делопроизводство предприятия по следующим направлениям: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Спроектировать «дерево целей» исходя из целей и задач производственной практики и темой ВКР.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Выделить факторы внутренней и внешней среды организации (или ее подразделения) и дать им характеристику. 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Изучить и проанализировать результаты проведенных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эмпирических исследований (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проектов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)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связанных с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социологией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в индустрии моды, отраженных в отчетах, диссертациях, научных публикациях по теме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ВКР: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вторичный анализ исследований связанных с темой ВКР;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вторичного анализа разработать таблицы и диаграммы;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эмпирическое (экспериментальное) исследование в рамках производственной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(преддипломной) практики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, выполнив при этом ряд задач профессионального плана –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организационных, диагностических, консультационных, тренинговых и др.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связанных с темой ВКР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(матрица);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интерпретация результатов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, подготовить аналитический лист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эмпирического исследования разработать инфографику;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В ходе практики выполнить необходимые организационные, диагностические, консультационные, просветительские и другие виды работ.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Внести предложения по использованию труда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социолога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в данном подразделении.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Подготовить отчёт, презентацию и дневник по практике и проведенному исследованию. 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32"/>
        <w:gridCol w:w="3145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32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4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32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5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-1.4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-5: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ИД-ПК-5.1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-5.2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ИД-ПК-5.3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1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организовать сбор данных при опросе общественного мнения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 записи, GPS-координаты) и онлайн-интервью 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подготовить проектное предложение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и подготавливает проектные предложения для проведения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Обосновывает актуальность проекта для решения поставленной проблемы;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Отбирает анализирует и обрабатывает данные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и задачи научных исследований в различных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современных исследовательских методов с использованием новейшего отечественного и зарубежного опыта;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и оформляет  проекты профессиональной научно-технической документации, научных отчетов и  результатов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 и особенности их применения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и задач и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Применяет  методы маркетинговых исследований в профессиональной  деятельности;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Участвует в проектных формах работы и реализации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инструментари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изучения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практик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1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собирать данные при опросе общественного мнения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применительно к условиям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 по основным этапам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опросов);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видео-) и онлайн-интервью 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подготовить предложения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для проведения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Обосновывает актуальность проекта для решения поставленных задач;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самостоятельно формулировать цели, ставить конкретные задачи научных исследований в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Отбирает анализирует  данные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и задачи научных исследований в общих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современных исследовательских методов с использованием отечественного и зарубежного опыта;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составлении, представлении и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и  проекты профессиональной научно-технической документации, научных отчетов и  результатов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и задач и социологического исследования проектных работ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Применяет  методы маркетинговых исследований;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Участвует в проектных формах работы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изучения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1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собирать данные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фактические  данные из вторичных источников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видео-)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Способен самостоятельно формулировать цели, ставить конкретные задачи научных исследований в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Отбирает анализирует  данные научных исследований в различных областях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научных исследований в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общих исследовательских методов;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 проектов профессиональной научно-технической документации, научных отчетов, представлять результаты социологических исследовани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проекты профессиональной окументации, научных отчетов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проектные работы в области изучения общественного мнения,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социологического исследования проектных работ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Участвует в проектных формах работы  исследовательских проектных работ  в области изучения общественного мнения,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изучения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маркетинговых исследований   дополнительного образования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для мониторинга  рынка услуг и разработки предложений,;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1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способен собирать данные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детализирует технологии сбора социологической информации п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разрабатывает полный комплект отчётных материалов;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представляет фактические  данные из вторичных источников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контролирует  качество сбора данных с использованием технических средств (аудио- и видео-)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описывает проблемную ситуацию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Не способен самостоятельно формулировать цели, ставить конкретные задачи научных исследований в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Не способен отбирать  данные научных исследований в различных областях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формулирует цели научных исследований в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использует  в ходе анализа социологические данные общих исследовательских методов;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способен участвовать в составлении проектов профессиональной научно-технической документации, научных отчетов, представлять результаты социологических исследовани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составляет проекты профессиональной окументации, научных отчетов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способен планировать проектные работы в области изучения общественного мнения,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использует знания об основных методах социологических и маркетинговых исследований;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формулирует  цели социологического исследования проектных работ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Не способен участвовать в проектных формах работы  исследовательских проектных работ  в области изучения общественного мнения,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Не с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пособен организовывать мониторинг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Не о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изучения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Не 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маркетинговых исследований   дополнительного образования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для мониторинга  рынка услуг и разработки предложений,;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6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Постановка проблемы исследования.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темы ВКР, на решение каких проблем направлено исследование?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Определение основных понятий и теоретических подходов к организации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модели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гипотез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выбора методов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выборки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критериев и методов обработки результатов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основных результатов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практической значимости результатов исследования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 xml:space="preserve"> </w:t>
            </w: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социолога в данном подразделении.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color w:val="000000"/>
        </w:rPr>
      </w:pPr>
      <w:r>
        <w:t>Критерии оценки промежуточной аттестации практики</w:t>
      </w:r>
      <w:r>
        <w:rPr>
          <w:color w:val="000000"/>
        </w:rPr>
        <w:t>.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УЧЕБНО-МЕТОДИЧЕСКОЕ И ИНФОРМАЦИОННОЕ ОБЕСПЕЧЕНИЕ </w:t>
      </w:r>
      <w:r>
        <w:rPr>
          <w:lang w:val="ru-RU"/>
        </w:rPr>
        <w:t>ПРОИЗВОДСТВЕННОЙ</w:t>
      </w:r>
      <w:r>
        <w:t xml:space="preserve">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Тургаева А.С.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https://biblio-online.ru/book/sociologiya-423218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Гречихин В. Г.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Общая социология 2-е изд., пер.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https://biblio-online.ru/book/obschaya-sociologiya-411616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Касьянов В.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массовой коммуникации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https://biblio-online.ru/book/sociologiya-massovoy-kommunikacii-428181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F4BDBDC"/>
    <w:multiLevelType w:val="multilevel"/>
    <w:tmpl w:val="4F4BDBD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firstLine="28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284" w:firstLineChars="0"/>
      </w:pPr>
      <w:rPr>
        <w:rFonts w:hint="default" w:ascii="Symbol" w:hAnsi="Symbol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993" w:firstLineChars="0"/>
      </w:pPr>
      <w:rPr>
        <w:rFonts w:hint="default" w:ascii="Symbol" w:hAnsi="Symbol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173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2455" w:firstLineChars="0"/>
      </w:pPr>
      <w:rPr>
        <w:rFonts w:hint="default"/>
      </w:rPr>
    </w:lvl>
  </w:abstractNum>
  <w:abstractNum w:abstractNumId="1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7"/>
  </w:num>
  <w:num w:numId="6">
    <w:abstractNumId w:val="18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20"/>
  </w:num>
  <w:num w:numId="12">
    <w:abstractNumId w:val="0"/>
  </w:num>
  <w:num w:numId="13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E75B00"/>
    <w:rsid w:val="072F2A3D"/>
    <w:rsid w:val="0BEB1661"/>
    <w:rsid w:val="1090323B"/>
    <w:rsid w:val="12685DE5"/>
    <w:rsid w:val="13935B80"/>
    <w:rsid w:val="18EB37D7"/>
    <w:rsid w:val="1A7F76DB"/>
    <w:rsid w:val="2B647426"/>
    <w:rsid w:val="30796034"/>
    <w:rsid w:val="32CC623A"/>
    <w:rsid w:val="3424558E"/>
    <w:rsid w:val="3D892B14"/>
    <w:rsid w:val="3F951BC1"/>
    <w:rsid w:val="3FB92B80"/>
    <w:rsid w:val="490C2842"/>
    <w:rsid w:val="4AC64AEF"/>
    <w:rsid w:val="534B5DB4"/>
    <w:rsid w:val="59202D3A"/>
    <w:rsid w:val="61984DE3"/>
    <w:rsid w:val="6D9010A7"/>
    <w:rsid w:val="6E7F6E72"/>
    <w:rsid w:val="6EC27535"/>
    <w:rsid w:val="70F955AF"/>
    <w:rsid w:val="78056DE5"/>
    <w:rsid w:val="78AE3C57"/>
    <w:rsid w:val="7CE87DA1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1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2022-05-15T11:37:34Z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1B8FFF52539A47EDB0E53C60EF283F89</vt:lpwstr>
  </property>
</Properties>
</file>