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384"/>
        <w:gridCol w:w="3678"/>
        <w:gridCol w:w="1360"/>
        <w:gridCol w:w="1482"/>
        <w:gridCol w:w="707"/>
        <w:gridCol w:w="1136"/>
      </w:tblGrid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D29E0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CD29E0" w:rsidRPr="00597B58" w:rsidRDefault="00CD29E0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CD29E0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tbl>
      <w:tblPr>
        <w:tblW w:w="9747" w:type="dxa"/>
        <w:tblLayout w:type="fixed"/>
        <w:tblLook w:val="00A0"/>
      </w:tblPr>
      <w:tblGrid>
        <w:gridCol w:w="4185"/>
        <w:gridCol w:w="1313"/>
        <w:gridCol w:w="4249"/>
      </w:tblGrid>
      <w:tr w:rsidR="00CD29E0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CD29E0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E828D5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 w:rsidRPr="00E828D5">
              <w:rPr>
                <w:b/>
                <w:sz w:val="26"/>
                <w:szCs w:val="26"/>
              </w:rPr>
              <w:t>Переводческая практика</w:t>
            </w:r>
          </w:p>
        </w:tc>
      </w:tr>
      <w:tr w:rsidR="00CD29E0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D29E0" w:rsidRPr="00597B58" w:rsidTr="001B0824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4249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CD29E0" w:rsidRPr="00597B58" w:rsidTr="001B0824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CD29E0" w:rsidRPr="00597B58" w:rsidTr="001B0824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CD29E0" w:rsidRPr="00553756" w:rsidRDefault="00CD29E0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D29E0" w:rsidRPr="00597B58" w:rsidTr="001B0824">
        <w:trPr>
          <w:trHeight w:val="567"/>
        </w:trPr>
        <w:tc>
          <w:tcPr>
            <w:tcW w:w="4185" w:type="dxa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Pr="00F26710" w:rsidRDefault="00CD29E0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  <w:sectPr w:rsidR="00CD29E0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/>
      </w:tblPr>
      <w:tblGrid>
        <w:gridCol w:w="381"/>
        <w:gridCol w:w="2944"/>
        <w:gridCol w:w="2311"/>
        <w:gridCol w:w="1702"/>
        <w:gridCol w:w="2410"/>
      </w:tblGrid>
      <w:tr w:rsidR="00CD29E0" w:rsidRPr="00597B58" w:rsidTr="001B0824">
        <w:trPr>
          <w:trHeight w:val="1900"/>
        </w:trPr>
        <w:tc>
          <w:tcPr>
            <w:tcW w:w="9748" w:type="dxa"/>
            <w:gridSpan w:val="5"/>
          </w:tcPr>
          <w:p w:rsidR="00CD29E0" w:rsidRPr="00597B58" w:rsidRDefault="00CD29E0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 w:rsidRPr="00E828D5">
              <w:rPr>
                <w:i/>
                <w:sz w:val="24"/>
                <w:szCs w:val="24"/>
              </w:rPr>
              <w:t>Переводческая практика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>
              <w:rPr>
                <w:sz w:val="26"/>
                <w:szCs w:val="26"/>
              </w:rPr>
              <w:t>Теория и 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CD29E0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CD29E0" w:rsidRPr="00597B58" w:rsidTr="001B0824">
        <w:trPr>
          <w:trHeight w:val="567"/>
        </w:trPr>
        <w:tc>
          <w:tcPr>
            <w:tcW w:w="381" w:type="dxa"/>
            <w:vAlign w:val="center"/>
          </w:tcPr>
          <w:p w:rsidR="00CD29E0" w:rsidRPr="00597B58" w:rsidRDefault="00CD29E0" w:rsidP="001B0824">
            <w:pPr>
              <w:pStyle w:val="Header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311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CD29E0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CD29E0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CD29E0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CD29E0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D29E0" w:rsidRPr="00553756" w:rsidTr="001B0824">
        <w:trPr>
          <w:trHeight w:val="340"/>
        </w:trPr>
        <w:tc>
          <w:tcPr>
            <w:tcW w:w="3227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CD29E0" w:rsidRPr="00553756" w:rsidTr="001B0824">
        <w:trPr>
          <w:trHeight w:val="680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CD29E0" w:rsidRPr="00553756" w:rsidTr="001B0824">
        <w:trPr>
          <w:trHeight w:val="567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5A2EE6">
      <w:pPr>
        <w:jc w:val="both"/>
        <w:rPr>
          <w:sz w:val="24"/>
          <w:szCs w:val="24"/>
        </w:rPr>
        <w:sectPr w:rsidR="00CD29E0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Default="00CD29E0" w:rsidP="00062796">
      <w:pPr>
        <w:pStyle w:val="Heading1"/>
      </w:pPr>
      <w:r>
        <w:t xml:space="preserve">ОБЩИЕ </w:t>
      </w:r>
      <w:r w:rsidRPr="00842D29">
        <w:t>СВЕДЕНИЯ</w:t>
      </w:r>
    </w:p>
    <w:p w:rsidR="00CD29E0" w:rsidRPr="0081340B" w:rsidRDefault="00CD29E0" w:rsidP="004837D1">
      <w:pPr>
        <w:pStyle w:val="Heading2"/>
      </w:pPr>
      <w:r w:rsidRPr="00C344A6">
        <w:t xml:space="preserve">Вид практики </w:t>
      </w:r>
    </w:p>
    <w:p w:rsidR="00CD29E0" w:rsidRPr="00C344A6" w:rsidRDefault="00CD29E0" w:rsidP="005E6E36">
      <w:pPr>
        <w:pStyle w:val="ListParagraph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CD29E0" w:rsidRPr="0081340B" w:rsidRDefault="00CD29E0" w:rsidP="004837D1">
      <w:pPr>
        <w:pStyle w:val="Heading2"/>
      </w:pPr>
      <w:r w:rsidRPr="00C344A6">
        <w:t>Тип практики</w:t>
      </w:r>
    </w:p>
    <w:p w:rsidR="00CD29E0" w:rsidRPr="00894656" w:rsidRDefault="00CD29E0" w:rsidP="005E6E36">
      <w:pPr>
        <w:pStyle w:val="ListParagraph"/>
        <w:numPr>
          <w:ilvl w:val="3"/>
          <w:numId w:val="10"/>
        </w:numPr>
        <w:ind w:left="0"/>
        <w:jc w:val="both"/>
      </w:pPr>
      <w:r w:rsidRPr="00E828D5">
        <w:rPr>
          <w:i/>
          <w:sz w:val="24"/>
          <w:szCs w:val="24"/>
        </w:rPr>
        <w:t>Переводческая практика</w:t>
      </w:r>
      <w:r w:rsidRPr="00C344A6">
        <w:rPr>
          <w:i/>
          <w:sz w:val="24"/>
          <w:szCs w:val="24"/>
        </w:rPr>
        <w:t>.</w:t>
      </w:r>
    </w:p>
    <w:p w:rsidR="00CD29E0" w:rsidRPr="0081340B" w:rsidRDefault="00CD29E0" w:rsidP="004837D1">
      <w:pPr>
        <w:pStyle w:val="Heading2"/>
      </w:pPr>
      <w:r w:rsidRPr="00894656">
        <w:t>Способы проведения практики</w:t>
      </w:r>
    </w:p>
    <w:p w:rsidR="00CD29E0" w:rsidRPr="00894656" w:rsidRDefault="00CD29E0" w:rsidP="005E6E36">
      <w:pPr>
        <w:pStyle w:val="ListParagraph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CD29E0" w:rsidRPr="0081340B" w:rsidRDefault="00CD29E0" w:rsidP="00FC5B19">
      <w:pPr>
        <w:pStyle w:val="Heading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CD29E0" w:rsidRPr="00597B58" w:rsidRDefault="00CD29E0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</w:tbl>
    <w:p w:rsidR="00CD29E0" w:rsidRPr="0081340B" w:rsidRDefault="00CD29E0" w:rsidP="00FC5B19">
      <w:pPr>
        <w:pStyle w:val="Heading2"/>
      </w:pPr>
      <w:r>
        <w:t>М</w:t>
      </w:r>
      <w:r w:rsidRPr="0081340B">
        <w:t>есто проведения практики</w:t>
      </w:r>
    </w:p>
    <w:p w:rsidR="00CD29E0" w:rsidRPr="0081340B" w:rsidRDefault="00CD29E0" w:rsidP="00FC5B19">
      <w:pPr>
        <w:pStyle w:val="ListParagraph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CD29E0" w:rsidRPr="0081340B" w:rsidRDefault="00CD29E0" w:rsidP="00FC5B19">
      <w:pPr>
        <w:pStyle w:val="ListParagraph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CD29E0" w:rsidRPr="00387304" w:rsidRDefault="00CD29E0" w:rsidP="0056704F">
      <w:pPr>
        <w:pStyle w:val="ListParagraph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CD29E0" w:rsidRPr="00970E57" w:rsidRDefault="00CD29E0" w:rsidP="00F444E0">
      <w:pPr>
        <w:pStyle w:val="ListParagraph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D29E0" w:rsidRPr="00894656" w:rsidRDefault="00CD29E0" w:rsidP="00FC5B19">
      <w:pPr>
        <w:pStyle w:val="Heading2"/>
      </w:pPr>
      <w:r w:rsidRPr="00894656">
        <w:t>Форма промежуточной аттестации</w:t>
      </w:r>
    </w:p>
    <w:p w:rsidR="00CD29E0" w:rsidRPr="00FC5B19" w:rsidRDefault="00CD29E0" w:rsidP="005E6E36">
      <w:pPr>
        <w:pStyle w:val="ListParagraph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CD29E0" w:rsidRPr="004837D1" w:rsidRDefault="00CD29E0" w:rsidP="005E6E36">
      <w:pPr>
        <w:pStyle w:val="ListParagraph"/>
        <w:numPr>
          <w:ilvl w:val="3"/>
          <w:numId w:val="10"/>
        </w:numPr>
        <w:ind w:left="0"/>
        <w:jc w:val="both"/>
      </w:pPr>
    </w:p>
    <w:p w:rsidR="00CD29E0" w:rsidRPr="00A32793" w:rsidRDefault="00CD29E0" w:rsidP="00FC5B19">
      <w:pPr>
        <w:pStyle w:val="ListParagraph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CD29E0" w:rsidRDefault="00CD29E0" w:rsidP="004837D1">
      <w:pPr>
        <w:pStyle w:val="Heading2"/>
      </w:pPr>
      <w:r w:rsidRPr="00387304">
        <w:t>Место практики в структуре ОПОП</w:t>
      </w:r>
    </w:p>
    <w:p w:rsidR="00CD29E0" w:rsidRPr="00B27F40" w:rsidRDefault="00CD29E0" w:rsidP="005E6E36">
      <w:pPr>
        <w:pStyle w:val="ListParagraph"/>
        <w:numPr>
          <w:ilvl w:val="3"/>
          <w:numId w:val="10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Педагогическая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CD29E0" w:rsidRDefault="00CD29E0" w:rsidP="005E6E36">
      <w:pPr>
        <w:pStyle w:val="ListParagraph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CD29E0" w:rsidRPr="00B27F40" w:rsidRDefault="00CD29E0" w:rsidP="005E6E36">
      <w:pPr>
        <w:pStyle w:val="ListParagraph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CD29E0" w:rsidRPr="00B27F40" w:rsidRDefault="00CD29E0" w:rsidP="00D55723">
      <w:pPr>
        <w:pStyle w:val="ListParagraph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B27F40">
        <w:rPr>
          <w:i/>
          <w:sz w:val="24"/>
          <w:szCs w:val="24"/>
        </w:rPr>
        <w:t>;</w:t>
      </w:r>
    </w:p>
    <w:p w:rsidR="00CD29E0" w:rsidRDefault="00CD29E0" w:rsidP="00D55723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второго иностранного языка (испанский язык)</w:t>
      </w: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Pr="007F5A12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 xml:space="preserve"> Практикум по культуре речевого общения второго иностранного языка (испанский язык)</w:t>
      </w:r>
      <w:r>
        <w:rPr>
          <w:i/>
          <w:sz w:val="24"/>
          <w:szCs w:val="24"/>
        </w:rPr>
        <w:t xml:space="preserve"> и другие практические курсы;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 xml:space="preserve"> и другие дисциплины теории языка;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Лингвокультурология и другие дисциплины культурологического спектра;</w:t>
      </w:r>
    </w:p>
    <w:p w:rsidR="00CD29E0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CD29E0" w:rsidRPr="00AB2334" w:rsidRDefault="00CD29E0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CD29E0" w:rsidRPr="00AB2334" w:rsidRDefault="00CD29E0" w:rsidP="004837D1">
      <w:pPr>
        <w:pStyle w:val="Heading1"/>
        <w:rPr>
          <w:i/>
          <w:szCs w:val="24"/>
        </w:rPr>
      </w:pPr>
      <w:r>
        <w:t>ЦЕЛИ И ЗАДАЧИ ПРАКТИКИ</w:t>
      </w:r>
    </w:p>
    <w:p w:rsidR="00CD29E0" w:rsidRPr="00AB2334" w:rsidRDefault="00CD29E0" w:rsidP="004837D1">
      <w:pPr>
        <w:pStyle w:val="Heading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CD29E0" w:rsidRPr="00FB72A9" w:rsidRDefault="00CD29E0" w:rsidP="00A45E62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CD29E0" w:rsidRPr="0042428C" w:rsidRDefault="00CD29E0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CD29E0" w:rsidRPr="00E828D5" w:rsidRDefault="00CD29E0" w:rsidP="00E828D5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 w:rsidRPr="00E828D5">
        <w:rPr>
          <w:iCs/>
          <w:sz w:val="24"/>
          <w:szCs w:val="24"/>
        </w:rPr>
        <w:t>овладение  способностью  осуществлять  письменный  перевод  с соблюдением    норм  перевода  и  оформлять  текст  перевода  в компьютерном текстовом редакторе;</w:t>
      </w:r>
    </w:p>
    <w:p w:rsidR="00CD29E0" w:rsidRPr="00E828D5" w:rsidRDefault="00CD29E0" w:rsidP="00286F9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</w:t>
      </w:r>
      <w:r w:rsidRPr="00E828D5">
        <w:rPr>
          <w:iCs/>
          <w:sz w:val="24"/>
          <w:szCs w:val="24"/>
        </w:rPr>
        <w:t xml:space="preserve">глубление  и  закрепление  профессиональных  знаний,  умений  и  навыков, полученных  обучающимися  в  процессе  обучения </w:t>
      </w:r>
      <w:r>
        <w:rPr>
          <w:iCs/>
          <w:sz w:val="24"/>
          <w:szCs w:val="24"/>
        </w:rPr>
        <w:t>.</w:t>
      </w:r>
      <w:r w:rsidRPr="00E828D5">
        <w:rPr>
          <w:iCs/>
          <w:sz w:val="24"/>
          <w:szCs w:val="24"/>
        </w:rPr>
        <w:t xml:space="preserve"> </w:t>
      </w:r>
    </w:p>
    <w:p w:rsidR="00CD29E0" w:rsidRDefault="00CD29E0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CD29E0" w:rsidRPr="004703AE" w:rsidRDefault="00CD29E0" w:rsidP="004837D1">
      <w:pPr>
        <w:pStyle w:val="Heading2"/>
      </w:pPr>
      <w:r w:rsidRPr="009979C3">
        <w:t>Задачи производственной практики:</w:t>
      </w:r>
    </w:p>
    <w:p w:rsidR="00CD29E0" w:rsidRDefault="00CD29E0" w:rsidP="00286F93">
      <w:pPr>
        <w:pStyle w:val="Iauiue0"/>
        <w:ind w:firstLine="550"/>
        <w:jc w:val="both"/>
        <w:rPr>
          <w:b/>
          <w:bCs/>
          <w:color w:val="000000"/>
          <w:sz w:val="23"/>
          <w:szCs w:val="23"/>
        </w:rPr>
      </w:pPr>
      <w:r>
        <w:t>- перевод научной статьи по теме диплома</w:t>
      </w:r>
    </w:p>
    <w:p w:rsidR="00CD29E0" w:rsidRPr="0042428C" w:rsidRDefault="00CD29E0" w:rsidP="00286F93">
      <w:pPr>
        <w:autoSpaceDE w:val="0"/>
        <w:autoSpaceDN w:val="0"/>
        <w:adjustRightInd w:val="0"/>
        <w:ind w:firstLine="55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</w:t>
      </w:r>
      <w:r w:rsidRPr="00E828D5">
        <w:rPr>
          <w:iCs/>
          <w:sz w:val="24"/>
          <w:szCs w:val="24"/>
        </w:rPr>
        <w:t xml:space="preserve">  подготовка отчёта о прохождении производственной практики (переводческая практика).</w:t>
      </w:r>
    </w:p>
    <w:p w:rsidR="00CD29E0" w:rsidRDefault="00CD29E0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Pr="00EA6D9A" w:rsidRDefault="00CD29E0" w:rsidP="00EA6D9A">
      <w:pPr>
        <w:pStyle w:val="Heading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CD29E0" w:rsidRPr="00AB6D40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CD29E0" w:rsidRPr="007E3278" w:rsidRDefault="00CD29E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CD29E0" w:rsidRPr="00AB6D40" w:rsidRDefault="00CD29E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CD29E0" w:rsidRPr="00AB6D40" w:rsidRDefault="00CD29E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CD29E0" w:rsidRPr="007E3278" w:rsidRDefault="00CD29E0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D29E0" w:rsidRPr="00AB6D40" w:rsidTr="00AA4318">
        <w:trPr>
          <w:trHeight w:val="283"/>
        </w:trPr>
        <w:tc>
          <w:tcPr>
            <w:tcW w:w="2552" w:type="dxa"/>
          </w:tcPr>
          <w:p w:rsidR="00CD29E0" w:rsidRDefault="00CD29E0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</w:t>
            </w:r>
            <w:r>
              <w:rPr>
                <w:rFonts w:eastAsia="Times New Roman"/>
                <w:i/>
              </w:rPr>
              <w:t>1</w:t>
            </w:r>
          </w:p>
          <w:p w:rsidR="00CD29E0" w:rsidRPr="00471F48" w:rsidRDefault="00CD29E0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71F48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CD29E0" w:rsidRPr="00471F48" w:rsidRDefault="00CD29E0" w:rsidP="001B0824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1.3</w:t>
            </w:r>
          </w:p>
          <w:p w:rsidR="00CD29E0" w:rsidRPr="00471F48" w:rsidRDefault="00CD29E0" w:rsidP="001B082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Планирование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возможных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вариантов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оценка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достоинств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недостатков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связи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ними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ожидаемых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471F48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</w:p>
        </w:tc>
        <w:tc>
          <w:tcPr>
            <w:tcW w:w="4110" w:type="dxa"/>
          </w:tcPr>
          <w:p w:rsidR="00CD29E0" w:rsidRPr="001F1D42" w:rsidRDefault="00CD29E0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выстроить алгоритмы перевода в зависимости от конкретного прагматического контекста</w:t>
            </w:r>
          </w:p>
        </w:tc>
      </w:tr>
      <w:tr w:rsidR="00CD29E0" w:rsidRPr="00AB6D40" w:rsidTr="00AA4318">
        <w:trPr>
          <w:trHeight w:val="283"/>
        </w:trPr>
        <w:tc>
          <w:tcPr>
            <w:tcW w:w="2552" w:type="dxa"/>
          </w:tcPr>
          <w:p w:rsidR="00CD29E0" w:rsidRDefault="00CD29E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CD29E0" w:rsidRPr="00342AAE" w:rsidRDefault="00CD29E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CD29E0" w:rsidRDefault="00CD29E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</w:p>
          <w:p w:rsidR="00CD29E0" w:rsidRPr="00471F48" w:rsidRDefault="00CD29E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71F48">
              <w:rPr>
                <w:rStyle w:val="fontstyle01"/>
                <w:rFonts w:ascii="Times New Roman" w:eastAsia="MS Mincho"/>
                <w:i/>
                <w:sz w:val="22"/>
              </w:rPr>
              <w:t>Выделять доминирующие в культуре значения и смыслы, составляющие ее своеобразие</w:t>
            </w:r>
          </w:p>
        </w:tc>
        <w:tc>
          <w:tcPr>
            <w:tcW w:w="4110" w:type="dxa"/>
          </w:tcPr>
          <w:p w:rsidR="00CD29E0" w:rsidRPr="00471F48" w:rsidRDefault="00CD29E0" w:rsidP="00F329B9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>- различать алгоритмы развития разных аспектов знаковых систем; применять методы сравнительно-исторического и синхронного анализа на практике</w:t>
            </w:r>
          </w:p>
          <w:p w:rsidR="00CD29E0" w:rsidRPr="00471F48" w:rsidRDefault="00CD29E0" w:rsidP="00F329B9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/>
                <w:sz w:val="22"/>
                <w:szCs w:val="22"/>
                <w:highlight w:val="green"/>
              </w:rPr>
            </w:pPr>
            <w:r w:rsidRPr="00471F48">
              <w:rPr>
                <w:i/>
              </w:rPr>
              <w:t>- видеть и интерпретировать особенности функционирования различных знаковых систем</w:t>
            </w:r>
          </w:p>
        </w:tc>
      </w:tr>
      <w:tr w:rsidR="00CD29E0" w:rsidRPr="00AB6D40" w:rsidTr="00AA4318">
        <w:trPr>
          <w:trHeight w:val="283"/>
        </w:trPr>
        <w:tc>
          <w:tcPr>
            <w:tcW w:w="2552" w:type="dxa"/>
          </w:tcPr>
          <w:p w:rsidR="00CD29E0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CD29E0" w:rsidRPr="00F71A6C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977" w:type="dxa"/>
          </w:tcPr>
          <w:p w:rsidR="00CD29E0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CD29E0" w:rsidRPr="00E96353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  <w:tc>
          <w:tcPr>
            <w:tcW w:w="4110" w:type="dxa"/>
          </w:tcPr>
          <w:p w:rsidR="00CD29E0" w:rsidRPr="001F1D42" w:rsidRDefault="00CD29E0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</w:tc>
      </w:tr>
      <w:tr w:rsidR="00CD29E0" w:rsidRPr="00AB6D40" w:rsidTr="00AA4318">
        <w:trPr>
          <w:trHeight w:val="283"/>
        </w:trPr>
        <w:tc>
          <w:tcPr>
            <w:tcW w:w="2552" w:type="dxa"/>
          </w:tcPr>
          <w:p w:rsidR="00CD29E0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CD29E0" w:rsidRPr="00E96353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977" w:type="dxa"/>
          </w:tcPr>
          <w:p w:rsidR="00CD29E0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  <w:p w:rsidR="00CD29E0" w:rsidRPr="00471F48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471F4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CD29E0" w:rsidRPr="001F1D42" w:rsidRDefault="00CD29E0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 при различных техниках анализа и перевода</w:t>
            </w:r>
          </w:p>
        </w:tc>
      </w:tr>
      <w:tr w:rsidR="00CD29E0" w:rsidRPr="00AB6D40" w:rsidTr="00AA4318">
        <w:trPr>
          <w:trHeight w:val="283"/>
        </w:trPr>
        <w:tc>
          <w:tcPr>
            <w:tcW w:w="2552" w:type="dxa"/>
          </w:tcPr>
          <w:p w:rsidR="00CD29E0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CD29E0" w:rsidRPr="00E96353" w:rsidRDefault="00CD29E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977" w:type="dxa"/>
          </w:tcPr>
          <w:p w:rsidR="00CD29E0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1</w:t>
            </w:r>
          </w:p>
          <w:p w:rsidR="00CD29E0" w:rsidRPr="00471F48" w:rsidRDefault="00CD29E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471F4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4110" w:type="dxa"/>
          </w:tcPr>
          <w:p w:rsidR="00CD29E0" w:rsidRPr="00273413" w:rsidRDefault="00CD29E0" w:rsidP="00273413">
            <w:pPr>
              <w:suppressAutoHyphens/>
              <w:jc w:val="both"/>
              <w:rPr>
                <w:b/>
                <w:i/>
              </w:rPr>
            </w:pPr>
            <w:r w:rsidRPr="001F1D42">
              <w:rPr>
                <w:i/>
              </w:rPr>
              <w:t>-</w:t>
            </w:r>
            <w:r>
              <w:t xml:space="preserve"> </w:t>
            </w:r>
            <w:r w:rsidRPr="00273413">
              <w:rPr>
                <w:i/>
              </w:rPr>
              <w:t>знает специфику лингвокультуры англоязычного социума;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CD29E0" w:rsidRPr="00273413" w:rsidRDefault="00CD29E0" w:rsidP="00273413">
            <w:pPr>
              <w:suppressAutoHyphens/>
              <w:jc w:val="both"/>
              <w:rPr>
                <w:i/>
              </w:rPr>
            </w:pPr>
            <w:r w:rsidRPr="00273413">
              <w:rPr>
                <w:i/>
              </w:rPr>
              <w:t xml:space="preserve">-распознает </w:t>
            </w:r>
            <w:r>
              <w:rPr>
                <w:i/>
              </w:rPr>
              <w:t xml:space="preserve">и использует </w:t>
            </w:r>
            <w:r w:rsidRPr="00273413">
              <w:rPr>
                <w:i/>
              </w:rPr>
              <w:t xml:space="preserve">виды  общения, регистры и варианты языка </w:t>
            </w:r>
          </w:p>
          <w:p w:rsidR="00CD29E0" w:rsidRPr="001F1D42" w:rsidRDefault="00CD29E0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D29E0" w:rsidRPr="009B628C" w:rsidRDefault="00CD29E0" w:rsidP="004837D1">
      <w:pPr>
        <w:pStyle w:val="Heading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CD29E0" w:rsidRPr="008A3866" w:rsidRDefault="00CD29E0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CD29E0" w:rsidRPr="008A3866" w:rsidRDefault="00CD29E0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CD29E0" w:rsidRPr="00AB6D40" w:rsidTr="00AB6D40">
        <w:trPr>
          <w:trHeight w:val="340"/>
        </w:trPr>
        <w:tc>
          <w:tcPr>
            <w:tcW w:w="4678" w:type="dxa"/>
            <w:vAlign w:val="center"/>
          </w:tcPr>
          <w:p w:rsidR="00CD29E0" w:rsidRPr="00AB6D40" w:rsidRDefault="00CD29E0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5A2EE6">
            <w:r w:rsidRPr="00AB6D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CD29E0" w:rsidRDefault="00CD29E0" w:rsidP="00785CA8">
      <w:pPr>
        <w:pStyle w:val="Heading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544"/>
        <w:gridCol w:w="709"/>
        <w:gridCol w:w="1346"/>
        <w:gridCol w:w="1347"/>
        <w:gridCol w:w="992"/>
        <w:gridCol w:w="1701"/>
      </w:tblGrid>
      <w:tr w:rsidR="00CD29E0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D29E0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D29E0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B442A" w:rsidRDefault="00CD29E0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CD29E0" w:rsidRPr="00597B58" w:rsidRDefault="00CD29E0" w:rsidP="00045853">
            <w:r>
              <w:t>Перевод статьи</w:t>
            </w: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>
            <w:pPr>
              <w:rPr>
                <w:i/>
              </w:rPr>
            </w:pP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</w:tbl>
    <w:p w:rsidR="00CD29E0" w:rsidRPr="008835B4" w:rsidRDefault="00CD29E0" w:rsidP="008835B4"/>
    <w:p w:rsidR="00CD29E0" w:rsidRPr="001F5596" w:rsidRDefault="00CD29E0" w:rsidP="004264E8">
      <w:pPr>
        <w:pStyle w:val="Heading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842"/>
        <w:gridCol w:w="2126"/>
        <w:gridCol w:w="703"/>
        <w:gridCol w:w="2842"/>
        <w:gridCol w:w="2126"/>
      </w:tblGrid>
      <w:tr w:rsidR="00CD29E0" w:rsidRPr="00AB6D40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CD29E0" w:rsidRPr="00AB6D40" w:rsidRDefault="00CD29E0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CD29E0" w:rsidRPr="00AB6D40" w:rsidRDefault="00CD29E0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D29E0" w:rsidRPr="00AB6D40" w:rsidTr="004264E8">
        <w:trPr>
          <w:trHeight w:val="283"/>
        </w:trPr>
        <w:tc>
          <w:tcPr>
            <w:tcW w:w="1842" w:type="dxa"/>
            <w:vMerge w:val="restart"/>
          </w:tcPr>
          <w:p w:rsidR="00CD29E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УК-2</w:t>
            </w:r>
          </w:p>
          <w:p w:rsidR="00CD29E0" w:rsidRPr="001F1D42" w:rsidRDefault="00CD29E0" w:rsidP="008835B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-2.2</w:t>
            </w:r>
          </w:p>
          <w:p w:rsidR="00CD29E0" w:rsidRDefault="00CD29E0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CD29E0" w:rsidRDefault="00CD29E0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CD29E0" w:rsidRDefault="00CD29E0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CD29E0" w:rsidRDefault="00CD29E0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CD29E0" w:rsidRDefault="00CD29E0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CD29E0" w:rsidRDefault="00CD29E0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CD29E0" w:rsidRDefault="00CD29E0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CD29E0" w:rsidRDefault="00CD29E0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CD29E0" w:rsidRDefault="00CD29E0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CD29E0" w:rsidRPr="00AB6D40" w:rsidRDefault="00CD29E0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CD29E0" w:rsidRPr="00AB6D40" w:rsidTr="004264E8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Подбор статьи по теме ВКР</w:t>
            </w:r>
          </w:p>
        </w:tc>
        <w:tc>
          <w:tcPr>
            <w:tcW w:w="2126" w:type="dxa"/>
          </w:tcPr>
          <w:p w:rsidR="00CD29E0" w:rsidRPr="00AB6D40" w:rsidRDefault="00CD29E0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 xml:space="preserve">- обсуждения </w:t>
            </w:r>
          </w:p>
        </w:tc>
      </w:tr>
      <w:tr w:rsidR="00CD29E0" w:rsidRPr="00AB6D40" w:rsidTr="004264E8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Перевод научной статьи</w:t>
            </w:r>
          </w:p>
        </w:tc>
        <w:tc>
          <w:tcPr>
            <w:tcW w:w="2126" w:type="dxa"/>
          </w:tcPr>
          <w:p w:rsidR="00CD29E0" w:rsidRPr="001F1D42" w:rsidRDefault="00CD29E0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проверка статьи</w:t>
            </w:r>
          </w:p>
        </w:tc>
      </w:tr>
      <w:tr w:rsidR="00CD29E0" w:rsidRPr="00AB6D40" w:rsidTr="004264E8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8045AA" w:rsidRDefault="00CD29E0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Заполнение дневника</w:t>
            </w:r>
          </w:p>
          <w:p w:rsidR="00CD29E0" w:rsidRPr="001F1D42" w:rsidRDefault="00CD29E0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CD29E0" w:rsidRPr="001F1D42" w:rsidRDefault="00CD29E0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CD29E0" w:rsidRPr="001F1D42" w:rsidRDefault="00CD29E0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CD29E0" w:rsidRPr="001F1D42" w:rsidRDefault="00CD29E0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CD29E0" w:rsidRPr="00B4473D" w:rsidRDefault="00CD29E0" w:rsidP="004837D1">
      <w:pPr>
        <w:pStyle w:val="Heading1"/>
        <w:rPr>
          <w:i/>
          <w:szCs w:val="24"/>
        </w:rPr>
      </w:pPr>
      <w:r>
        <w:t>ИНДИВИДУАЛЬНОЕ ЗАДАНИЕ НА ПРАКТИКУ</w:t>
      </w:r>
    </w:p>
    <w:p w:rsidR="00CD29E0" w:rsidRPr="00550B64" w:rsidRDefault="00CD29E0" w:rsidP="0056704F">
      <w:pPr>
        <w:pStyle w:val="ListParagraph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CD29E0" w:rsidRDefault="00CD29E0" w:rsidP="00785CA8">
      <w:pPr>
        <w:pStyle w:val="Heading2"/>
      </w:pPr>
      <w:r>
        <w:t>Типовые задания на практику</w:t>
      </w:r>
    </w:p>
    <w:p w:rsidR="00CD29E0" w:rsidRDefault="00CD29E0" w:rsidP="00C77E5B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 и практических навыков </w:t>
      </w:r>
      <w:r>
        <w:rPr>
          <w:rFonts w:ascii="Times New Roman" w:hAnsi="Times New Roman" w:cs="Times New Roman"/>
        </w:rPr>
        <w:t>перевода</w:t>
      </w:r>
      <w:r w:rsidRPr="000340D9">
        <w:rPr>
          <w:rFonts w:ascii="Times New Roman" w:hAnsi="Times New Roman" w:cs="Times New Roman"/>
        </w:rPr>
        <w:t>.</w:t>
      </w:r>
    </w:p>
    <w:p w:rsidR="00CD29E0" w:rsidRDefault="00CD29E0" w:rsidP="005479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поиск научной статьи, либо главы монографии по тематике ВКР. Будущее исследование строится на междисциплинарном принципе, затрагивая основные сферы: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Теории языка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языка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культуры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лингвокультурологии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семиотики</w:t>
      </w:r>
    </w:p>
    <w:p w:rsidR="00CD29E0" w:rsidRPr="00A44240" w:rsidRDefault="00CD29E0" w:rsidP="005479F9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 герменевтики и т.д.</w:t>
      </w:r>
    </w:p>
    <w:p w:rsidR="00CD29E0" w:rsidRPr="000340D9" w:rsidRDefault="00CD29E0" w:rsidP="00C77E5B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CD29E0" w:rsidRPr="000340D9" w:rsidRDefault="00CD29E0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CD29E0" w:rsidRDefault="00CD29E0" w:rsidP="00C77E5B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CD29E0" w:rsidRPr="000340D9" w:rsidRDefault="00CD29E0" w:rsidP="00C77E5B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CD29E0" w:rsidRDefault="00CD29E0" w:rsidP="00785CA8">
      <w:pPr>
        <w:pStyle w:val="Heading2"/>
      </w:pPr>
      <w:r>
        <w:t>Частные индивидуальные</w:t>
      </w:r>
      <w:r w:rsidRPr="00BC184D">
        <w:t xml:space="preserve"> задания на практику</w:t>
      </w:r>
    </w:p>
    <w:p w:rsidR="00CD29E0" w:rsidRDefault="00CD29E0" w:rsidP="005E6E36">
      <w:pPr>
        <w:pStyle w:val="ListParagraph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CD29E0" w:rsidRPr="005479F9" w:rsidRDefault="00CD29E0" w:rsidP="005479F9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5479F9">
        <w:rPr>
          <w:i/>
          <w:sz w:val="24"/>
          <w:szCs w:val="24"/>
        </w:rPr>
        <w:t>исьменн</w:t>
      </w:r>
      <w:r>
        <w:rPr>
          <w:i/>
          <w:sz w:val="24"/>
          <w:szCs w:val="24"/>
        </w:rPr>
        <w:t>ый</w:t>
      </w:r>
      <w:r w:rsidRPr="005479F9">
        <w:rPr>
          <w:i/>
          <w:sz w:val="24"/>
          <w:szCs w:val="24"/>
        </w:rPr>
        <w:t xml:space="preserve">  перевод</w:t>
      </w:r>
      <w:r>
        <w:rPr>
          <w:i/>
          <w:sz w:val="24"/>
          <w:szCs w:val="24"/>
        </w:rPr>
        <w:t xml:space="preserve"> осуществляется с применением </w:t>
      </w:r>
      <w:r w:rsidRPr="005479F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5479F9">
        <w:rPr>
          <w:i/>
          <w:sz w:val="24"/>
          <w:szCs w:val="24"/>
        </w:rPr>
        <w:t xml:space="preserve">  прием</w:t>
      </w:r>
      <w:r>
        <w:rPr>
          <w:i/>
          <w:sz w:val="24"/>
          <w:szCs w:val="24"/>
        </w:rPr>
        <w:t>ов</w:t>
      </w:r>
      <w:r w:rsidRPr="005479F9">
        <w:rPr>
          <w:i/>
          <w:sz w:val="24"/>
          <w:szCs w:val="24"/>
        </w:rPr>
        <w:t xml:space="preserve">  перевода  с </w:t>
      </w:r>
    </w:p>
    <w:p w:rsidR="00CD29E0" w:rsidRPr="005479F9" w:rsidRDefault="00CD29E0" w:rsidP="00504C34">
      <w:pPr>
        <w:pStyle w:val="ListParagraph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5479F9">
        <w:rPr>
          <w:i/>
          <w:sz w:val="24"/>
          <w:szCs w:val="24"/>
        </w:rPr>
        <w:t>соблюдением  лексических, грамматических,  синтаксических  и стилистических  норм</w:t>
      </w:r>
      <w:r>
        <w:rPr>
          <w:i/>
          <w:sz w:val="24"/>
          <w:szCs w:val="24"/>
        </w:rPr>
        <w:t>.</w:t>
      </w:r>
      <w:r w:rsidRPr="005479F9">
        <w:rPr>
          <w:i/>
          <w:sz w:val="24"/>
          <w:szCs w:val="24"/>
        </w:rPr>
        <w:t xml:space="preserve">  </w:t>
      </w:r>
    </w:p>
    <w:p w:rsidR="00CD29E0" w:rsidRDefault="00CD29E0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Перевод выбранной научной статьи по теме ВКР, </w:t>
      </w:r>
    </w:p>
    <w:p w:rsidR="00CD29E0" w:rsidRDefault="00CD29E0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составление глоссария,</w:t>
      </w:r>
    </w:p>
    <w:p w:rsidR="00CD29E0" w:rsidRDefault="00CD29E0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оформление отчета.</w:t>
      </w:r>
    </w:p>
    <w:p w:rsidR="00CD29E0" w:rsidRDefault="00CD29E0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  <w:sectPr w:rsidR="00CD29E0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CD29E0" w:rsidRPr="00C24F9B" w:rsidRDefault="00CD29E0" w:rsidP="004837D1">
      <w:pPr>
        <w:pStyle w:val="Heading1"/>
      </w:pPr>
      <w:r>
        <w:t>РЕЗУЛЬТАТЫ ПРАКТИКИ, КРИТЕРИИ УРОВНЯ СФОРМИРОВАННОСТИ КОМПЕТЕНЦИЙ, СИСТЕМА И ШКАЛА ОЦЕНИВАНИЯ</w:t>
      </w:r>
    </w:p>
    <w:p w:rsidR="00CD29E0" w:rsidRPr="00C24F9B" w:rsidRDefault="00CD29E0" w:rsidP="00785CA8">
      <w:pPr>
        <w:pStyle w:val="Heading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1798"/>
        <w:gridCol w:w="2732"/>
        <w:gridCol w:w="2585"/>
        <w:gridCol w:w="2585"/>
        <w:gridCol w:w="2586"/>
      </w:tblGrid>
      <w:tr w:rsidR="00CD29E0" w:rsidRPr="00AB6D40" w:rsidTr="00AB6D40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CD29E0" w:rsidRPr="00AB6D40" w:rsidRDefault="00CD29E0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CD29E0" w:rsidRPr="00AB6D40" w:rsidRDefault="00CD29E0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CD29E0" w:rsidRPr="00AB6D40" w:rsidRDefault="00CD29E0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CD29E0" w:rsidRPr="00AB6D40" w:rsidTr="00AB6D40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CD29E0" w:rsidRDefault="00CD29E0" w:rsidP="00C77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</w:t>
            </w:r>
            <w:r>
              <w:rPr>
                <w:rFonts w:eastAsia="Times New Roman"/>
                <w:i/>
              </w:rPr>
              <w:t>1</w:t>
            </w:r>
          </w:p>
          <w:p w:rsidR="00CD29E0" w:rsidRPr="00504C34" w:rsidRDefault="00CD29E0" w:rsidP="00C77E5B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1F1D4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1.3</w:t>
            </w:r>
          </w:p>
          <w:p w:rsidR="00CD29E0" w:rsidRPr="00AB6D40" w:rsidRDefault="00CD29E0" w:rsidP="00C77E5B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CD29E0" w:rsidRPr="00AB6D40" w:rsidRDefault="00CD29E0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CD29E0" w:rsidRDefault="00CD29E0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CD29E0" w:rsidRDefault="00CD29E0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</w:p>
          <w:p w:rsidR="00CD29E0" w:rsidRDefault="00CD29E0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CD29E0" w:rsidRDefault="00CD29E0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CD29E0" w:rsidRDefault="00CD29E0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CD29E0" w:rsidRDefault="00CD29E0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  <w:p w:rsidR="00CD29E0" w:rsidRDefault="00CD29E0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CD29E0" w:rsidRDefault="00CD29E0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1</w:t>
            </w:r>
          </w:p>
          <w:p w:rsidR="00CD29E0" w:rsidRPr="00AB6D40" w:rsidRDefault="00CD29E0" w:rsidP="00944F6A">
            <w:pPr>
              <w:rPr>
                <w:i/>
              </w:rPr>
            </w:pPr>
          </w:p>
        </w:tc>
      </w:tr>
      <w:tr w:rsidR="00CD29E0" w:rsidRPr="00AB6D40" w:rsidTr="00AB6D40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выстроить алгоритмы перевода в зависимости от конкретного прагматического контекста</w:t>
            </w:r>
          </w:p>
          <w:p w:rsidR="00CD29E0" w:rsidRDefault="00CD29E0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  <w:p w:rsidR="00CD29E0" w:rsidRPr="00504C34" w:rsidRDefault="00CD29E0" w:rsidP="00504C34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методикой  подготовки  к  выполнению  перевода  и  предпереводческого  анализа текста,  включая  поиск  информации  в  справочной,  специальной  литературе  и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интернет ресурсах</w:t>
            </w:r>
          </w:p>
        </w:tc>
      </w:tr>
      <w:tr w:rsidR="00CD29E0" w:rsidRPr="00AB6D40" w:rsidTr="00AB6D40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владеет различными аспектами иностранного языка, способен транслировать информацию с помощью лексико-грамматических средств</w:t>
            </w:r>
          </w:p>
          <w:p w:rsidR="00CD29E0" w:rsidRPr="00AB6D40" w:rsidRDefault="00CD29E0" w:rsidP="00DC66F7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методикой  подготовки  к  выполнению  перевода  и  предпереводческого  анализа текста,  включая  поиск  информации  в  справочной,  специальной  литературе  и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интернет ресурсах</w:t>
            </w:r>
          </w:p>
        </w:tc>
      </w:tr>
      <w:tr w:rsidR="00CD29E0" w:rsidRPr="00AB6D40" w:rsidTr="00AB6D40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владеет различными аспектами иностранного языка,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условно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способен транслировать информацию с помощью лексико-грамматических средств</w:t>
            </w:r>
          </w:p>
          <w:p w:rsidR="00CD29E0" w:rsidRPr="001F1D42" w:rsidRDefault="00CD29E0" w:rsidP="00DC66F7">
            <w:pPr>
              <w:pStyle w:val="ListParagraph"/>
              <w:tabs>
                <w:tab w:val="left" w:pos="188"/>
              </w:tabs>
              <w:ind w:left="0"/>
              <w:rPr>
                <w:i/>
                <w:iCs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методикой  подготовки  к  выполнению  перевода  и  предпереводческого  анализа текста  </w:t>
            </w:r>
          </w:p>
        </w:tc>
      </w:tr>
      <w:tr w:rsidR="00CD29E0" w:rsidRPr="00AB6D40" w:rsidTr="00AB6D40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CD29E0" w:rsidRPr="00597B58" w:rsidRDefault="00CD29E0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CD29E0" w:rsidRPr="001F1D42" w:rsidRDefault="00CD29E0" w:rsidP="0056704F">
            <w:pPr>
              <w:pStyle w:val="ListParagraph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1F1D42">
              <w:rPr>
                <w:i/>
                <w:iCs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</w:t>
            </w:r>
            <w:r>
              <w:rPr>
                <w:i/>
                <w:iCs/>
                <w:sz w:val="22"/>
                <w:szCs w:val="22"/>
              </w:rPr>
              <w:t>перевод не соответствует структурно-лексическим составляющим</w:t>
            </w:r>
          </w:p>
          <w:p w:rsidR="00CD29E0" w:rsidRPr="001F1D42" w:rsidRDefault="00CD29E0" w:rsidP="00F34500">
            <w:pPr>
              <w:pStyle w:val="ListParagraph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D29E0" w:rsidRDefault="00CD29E0" w:rsidP="00785CA8">
      <w:pPr>
        <w:pStyle w:val="Heading1"/>
        <w:sectPr w:rsidR="00CD29E0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CD29E0" w:rsidRPr="00CD676B" w:rsidRDefault="00CD29E0" w:rsidP="00785CA8">
      <w:pPr>
        <w:pStyle w:val="Heading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CD29E0" w:rsidRPr="00122FBB" w:rsidRDefault="00CD29E0" w:rsidP="005E6E36">
      <w:pPr>
        <w:pStyle w:val="ListParagraph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CD29E0" w:rsidRPr="00122FBB" w:rsidRDefault="00CD29E0" w:rsidP="00785CA8">
      <w:pPr>
        <w:pStyle w:val="Heading2"/>
        <w:rPr>
          <w:i/>
        </w:rPr>
      </w:pPr>
      <w:r w:rsidRPr="00122FBB">
        <w:t>Текущий контроль успеваемости по практике</w:t>
      </w:r>
    </w:p>
    <w:p w:rsidR="00CD29E0" w:rsidRPr="00AC662C" w:rsidRDefault="00CD29E0" w:rsidP="00AC662C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CD29E0" w:rsidRDefault="00CD29E0" w:rsidP="00DC6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письменный перевод научной статьи, либо главы монографии по тематике ВКР. Будущее исследование строится на междисциплинарном принципе, затрагивая основные сферы: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Теории языка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языка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культуры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лингвокультурологии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семиотики</w:t>
      </w:r>
    </w:p>
    <w:p w:rsidR="00CD29E0" w:rsidRDefault="00CD29E0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герменевтики и т.д.</w:t>
      </w:r>
    </w:p>
    <w:p w:rsidR="00CD29E0" w:rsidRPr="00A44240" w:rsidRDefault="00CD29E0" w:rsidP="00DC66F7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Объем статьи: 5-7 страниц машинописного текста </w:t>
      </w:r>
    </w:p>
    <w:p w:rsidR="00CD29E0" w:rsidRDefault="00CD29E0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Перевод сопровождается глоссарием. </w:t>
      </w:r>
    </w:p>
    <w:p w:rsidR="00CD29E0" w:rsidRDefault="00CD29E0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Объем глоссария не менее 25 единиц</w:t>
      </w:r>
    </w:p>
    <w:p w:rsidR="00CD29E0" w:rsidRDefault="00CD29E0" w:rsidP="00785CA8">
      <w:pPr>
        <w:pStyle w:val="Heading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CD29E0" w:rsidRPr="00AB6D40" w:rsidTr="003A387D">
        <w:trPr>
          <w:trHeight w:val="624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ED2BF4" w:rsidRDefault="00CD29E0" w:rsidP="0004585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 (статьи)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перевод научной статьи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CD29E0" w:rsidRPr="00383A5B" w:rsidRDefault="00CD29E0" w:rsidP="00785CA8">
      <w:pPr>
        <w:pStyle w:val="Heading2"/>
        <w:rPr>
          <w:i/>
        </w:rPr>
      </w:pPr>
      <w:r w:rsidRPr="00383A5B">
        <w:t>Промежуточная аттестация успеваемости по практике</w:t>
      </w:r>
    </w:p>
    <w:p w:rsidR="00CD29E0" w:rsidRPr="005A4661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CD29E0" w:rsidRPr="005A4661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CD29E0" w:rsidRPr="00FC0020" w:rsidRDefault="00CD29E0" w:rsidP="00822FD3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CD29E0" w:rsidRPr="00D95BA2" w:rsidRDefault="00CD29E0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CD29E0" w:rsidRPr="00D95BA2" w:rsidRDefault="00CD29E0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CD29E0" w:rsidRPr="00D95BA2" w:rsidRDefault="00CD29E0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CD29E0" w:rsidRPr="00745475" w:rsidRDefault="00CD29E0" w:rsidP="00785CA8">
      <w:pPr>
        <w:pStyle w:val="Heading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678"/>
        <w:gridCol w:w="1701"/>
        <w:gridCol w:w="992"/>
      </w:tblGrid>
      <w:tr w:rsidR="00CD29E0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CD29E0" w:rsidRPr="00F87AD7" w:rsidRDefault="00CD29E0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CD29E0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29E0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CD29E0" w:rsidRPr="00AB6D40" w:rsidRDefault="00CD29E0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CD29E0" w:rsidRPr="00AB6D40" w:rsidRDefault="00CD29E0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отражает лексико-стилистические особенности оригинальной статьи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</w:t>
            </w:r>
            <w:r w:rsidRPr="00597B5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отражает лексико-стилистические особенности оригинальной статьи</w:t>
            </w:r>
          </w:p>
          <w:p w:rsidR="00CD29E0" w:rsidRPr="001F1D42" w:rsidRDefault="00CD29E0" w:rsidP="0056704F">
            <w:pPr>
              <w:pStyle w:val="ListParagraph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CD29E0" w:rsidRPr="001F1D42" w:rsidRDefault="00CD29E0" w:rsidP="00045853">
            <w:pPr>
              <w:pStyle w:val="ListParagraph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слабо отражает лексико-стилистические особенности оригинальной статьи</w:t>
            </w:r>
          </w:p>
          <w:p w:rsidR="00CD29E0" w:rsidRPr="00597B58" w:rsidRDefault="00CD29E0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не отражает лексико-стилистические особенности оригинальной статьи</w:t>
            </w:r>
          </w:p>
          <w:p w:rsidR="00CD29E0" w:rsidRPr="001F1D42" w:rsidRDefault="00CD29E0" w:rsidP="00045853">
            <w:pPr>
              <w:pStyle w:val="ListParagraph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CD29E0" w:rsidRPr="007158E1" w:rsidRDefault="00CD29E0" w:rsidP="00785CA8">
      <w:pPr>
        <w:pStyle w:val="Heading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CD29E0" w:rsidRPr="00DF52B1" w:rsidRDefault="00CD29E0" w:rsidP="00DF52B1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CD29E0" w:rsidRPr="007158E1" w:rsidRDefault="00CD29E0" w:rsidP="00785CA8">
      <w:pPr>
        <w:pStyle w:val="Heading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CD29E0" w:rsidRPr="00AB6D40" w:rsidTr="00AD256A">
        <w:trPr>
          <w:trHeight w:val="576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AD256A">
        <w:trPr>
          <w:trHeight w:val="286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</w:p>
        </w:tc>
      </w:tr>
    </w:tbl>
    <w:p w:rsidR="00CD29E0" w:rsidRPr="00745475" w:rsidRDefault="00CD29E0" w:rsidP="00785CA8">
      <w:pPr>
        <w:pStyle w:val="Heading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CD29E0" w:rsidRPr="001C44F0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CD29E0" w:rsidRPr="00745475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CD29E0" w:rsidRPr="00745475" w:rsidRDefault="00CD29E0" w:rsidP="0010336E">
      <w:pPr>
        <w:pStyle w:val="Heading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CD29E0" w:rsidRPr="00D51033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CD29E0" w:rsidRPr="00AE225B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29E0" w:rsidRPr="00AE225B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CD29E0" w:rsidRPr="00597B58" w:rsidTr="00045853">
        <w:trPr>
          <w:trHeight w:val="312"/>
        </w:trPr>
        <w:tc>
          <w:tcPr>
            <w:tcW w:w="9747" w:type="dxa"/>
            <w:gridSpan w:val="2"/>
          </w:tcPr>
          <w:p w:rsidR="00CD29E0" w:rsidRPr="00597B58" w:rsidRDefault="00CD29E0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>129337, г. Москва, Хибинский проезд, д.6</w:t>
            </w:r>
          </w:p>
        </w:tc>
      </w:tr>
      <w:tr w:rsidR="00CD29E0" w:rsidRPr="00597B58" w:rsidTr="00045853">
        <w:tc>
          <w:tcPr>
            <w:tcW w:w="478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D29E0" w:rsidRPr="00EC1291" w:rsidTr="00AE225B">
        <w:trPr>
          <w:trHeight w:val="1462"/>
        </w:trPr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D29E0" w:rsidRPr="00EC1291" w:rsidTr="00045853">
        <w:tc>
          <w:tcPr>
            <w:tcW w:w="4786" w:type="dxa"/>
          </w:tcPr>
          <w:p w:rsidR="00CD29E0" w:rsidRPr="00302E66" w:rsidRDefault="00CD29E0" w:rsidP="00045853">
            <w:pPr>
              <w:contextualSpacing/>
            </w:pPr>
            <w:r w:rsidRPr="00302E66">
              <w:t xml:space="preserve">Аудитория №108: </w:t>
            </w:r>
          </w:p>
          <w:p w:rsidR="00CD29E0" w:rsidRPr="00302E66" w:rsidRDefault="00CD29E0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29E0" w:rsidRPr="00302E66" w:rsidRDefault="00CD29E0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CD29E0" w:rsidRPr="00E97882" w:rsidRDefault="00CD29E0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CD29E0" w:rsidRPr="00EC1291" w:rsidRDefault="00CD29E0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CD29E0" w:rsidRPr="00EC1291" w:rsidRDefault="00CD29E0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D29E0" w:rsidRPr="00302E66" w:rsidTr="00045853">
        <w:tc>
          <w:tcPr>
            <w:tcW w:w="4786" w:type="dxa"/>
          </w:tcPr>
          <w:p w:rsidR="00CD29E0" w:rsidRPr="00302E66" w:rsidRDefault="00CD29E0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CD29E0" w:rsidRPr="00302E66" w:rsidRDefault="00CD29E0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D29E0" w:rsidRPr="00302E66" w:rsidRDefault="00CD29E0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D29E0" w:rsidRPr="00AA4DC4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CD29E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CD29E0" w:rsidRDefault="00CD29E0" w:rsidP="0010336E">
      <w:pPr>
        <w:pStyle w:val="Heading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/>
      </w:tblPr>
      <w:tblGrid>
        <w:gridCol w:w="1820"/>
        <w:gridCol w:w="3127"/>
        <w:gridCol w:w="1505"/>
        <w:gridCol w:w="54"/>
        <w:gridCol w:w="2450"/>
        <w:gridCol w:w="947"/>
        <w:gridCol w:w="3085"/>
        <w:gridCol w:w="34"/>
        <w:gridCol w:w="1984"/>
        <w:gridCol w:w="19"/>
      </w:tblGrid>
      <w:tr w:rsidR="00CD29E0" w:rsidRPr="00AA4AA4" w:rsidTr="00AE225B">
        <w:trPr>
          <w:gridAfter w:val="1"/>
          <w:wAfter w:w="19" w:type="dxa"/>
          <w:trHeight w:val="7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603D21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AA4AA4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D29E0" w:rsidRPr="00AA4AA4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AA4AA4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D29E0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CD29E0" w:rsidRPr="0071151C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4F1711" w:rsidRDefault="00CD29E0" w:rsidP="00045853">
            <w:pPr>
              <w:textAlignment w:val="center"/>
              <w:outlineLvl w:val="3"/>
              <w:rPr>
                <w:rFonts w:eastAsia="SimSun"/>
                <w:i/>
                <w:iCs/>
                <w:lang w:eastAsia="zh-CN"/>
              </w:rPr>
            </w:pPr>
            <w:r>
              <w:rPr>
                <w:rFonts w:eastAsia="SimSun"/>
                <w:i/>
                <w:iCs/>
                <w:lang w:eastAsia="zh-CN"/>
              </w:rPr>
              <w:t>Гарбовский Н.К.</w:t>
            </w:r>
          </w:p>
          <w:p w:rsidR="00CD29E0" w:rsidRPr="004F1711" w:rsidRDefault="00CD29E0" w:rsidP="00045853">
            <w:pPr>
              <w:suppressAutoHyphens/>
              <w:rPr>
                <w:i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045853">
            <w:pPr>
              <w:spacing w:line="270" w:lineRule="atLeast"/>
              <w:outlineLvl w:val="1"/>
              <w:rPr>
                <w:color w:val="000000"/>
              </w:rPr>
            </w:pPr>
            <w:r>
              <w:rPr>
                <w:color w:val="000000"/>
              </w:rPr>
              <w:t>Теория перевода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045853">
            <w:pPr>
              <w:suppressAutoHyphens/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045853">
            <w:pPr>
              <w:suppressAutoHyphens/>
              <w:rPr>
                <w:color w:val="FF6600"/>
              </w:rPr>
            </w:pPr>
            <w:r w:rsidRPr="00D36189">
              <w:rPr>
                <w:i/>
                <w:sz w:val="20"/>
                <w:lang w:eastAsia="ar-SA"/>
              </w:rPr>
              <w:t>М. : Издательство Юрайт</w:t>
            </w:r>
            <w:r w:rsidRPr="009E2071">
              <w:rPr>
                <w:color w:val="FF660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71151C" w:rsidRDefault="00CD29E0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E4532A" w:rsidRDefault="00CD29E0" w:rsidP="00045853">
            <w:pPr>
              <w:spacing w:line="100" w:lineRule="atLeast"/>
              <w:jc w:val="center"/>
              <w:rPr>
                <w:rFonts w:ascii="Arial" w:hAnsi="Arial" w:cs="Arial"/>
                <w:i/>
                <w:lang w:eastAsia="ar-SA"/>
              </w:rPr>
            </w:pPr>
            <w:r w:rsidRPr="00E4532A">
              <w:rPr>
                <w:rFonts w:ascii="Arial" w:hAnsi="Arial" w:cs="Arial"/>
                <w:i/>
                <w:lang w:eastAsia="ar-SA"/>
              </w:rPr>
              <w:t>https://urait.ru/viewer/teoriya-perevoda-489191#page/1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71151C" w:rsidRDefault="00CD29E0" w:rsidP="00045853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</w:p>
        </w:tc>
      </w:tr>
      <w:tr w:rsidR="00CD29E0" w:rsidRPr="00261CE2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4F1711" w:rsidRDefault="00CD29E0" w:rsidP="00F329B9">
            <w:pPr>
              <w:textAlignment w:val="center"/>
              <w:outlineLvl w:val="3"/>
              <w:rPr>
                <w:rFonts w:eastAsia="SimSun"/>
                <w:i/>
                <w:iCs/>
                <w:lang w:eastAsia="zh-CN"/>
              </w:rPr>
            </w:pPr>
            <w:r w:rsidRPr="004F1711">
              <w:rPr>
                <w:rFonts w:eastAsia="SimSun"/>
                <w:i/>
                <w:iCs/>
                <w:lang w:eastAsia="zh-CN"/>
              </w:rPr>
              <w:t>Прошина З.Г</w:t>
            </w:r>
          </w:p>
          <w:p w:rsidR="00CD29E0" w:rsidRPr="004F1711" w:rsidRDefault="00CD29E0" w:rsidP="00F329B9">
            <w:pPr>
              <w:suppressAutoHyphens/>
              <w:rPr>
                <w:i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F329B9">
            <w:pPr>
              <w:spacing w:line="270" w:lineRule="atLeast"/>
              <w:outlineLvl w:val="1"/>
              <w:rPr>
                <w:color w:val="000000"/>
              </w:rPr>
            </w:pPr>
            <w:r>
              <w:rPr>
                <w:color w:val="000000"/>
              </w:rPr>
              <w:t>Теория перевода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F329B9">
            <w:pPr>
              <w:suppressAutoHyphens/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9E2071" w:rsidRDefault="00CD29E0" w:rsidP="00F329B9">
            <w:pPr>
              <w:suppressAutoHyphens/>
              <w:rPr>
                <w:color w:val="FF6600"/>
              </w:rPr>
            </w:pPr>
            <w:r w:rsidRPr="00D36189">
              <w:rPr>
                <w:i/>
                <w:sz w:val="20"/>
                <w:lang w:eastAsia="ar-SA"/>
              </w:rPr>
              <w:t>М. : Издательство Юрайт</w:t>
            </w:r>
            <w:r w:rsidRPr="009E2071">
              <w:rPr>
                <w:color w:val="FF660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71151C" w:rsidRDefault="00CD29E0" w:rsidP="00F3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E4532A" w:rsidRDefault="00CD29E0" w:rsidP="00F329B9">
            <w:pPr>
              <w:spacing w:line="100" w:lineRule="atLeast"/>
              <w:jc w:val="center"/>
              <w:rPr>
                <w:rFonts w:ascii="Arial" w:hAnsi="Arial" w:cs="Arial"/>
                <w:i/>
                <w:lang w:eastAsia="ar-SA"/>
              </w:rPr>
            </w:pPr>
            <w:r w:rsidRPr="00E4532A">
              <w:rPr>
                <w:rFonts w:ascii="Arial" w:hAnsi="Arial" w:cs="Arial"/>
                <w:i/>
                <w:lang w:eastAsia="ar-SA"/>
              </w:rPr>
              <w:t>https://urait.ru/viewer/teoriya-perevoda-495016#page/1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261CE2" w:rsidRDefault="00CD29E0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CD29E0" w:rsidRPr="00261CE2" w:rsidRDefault="00CD29E0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</w:p>
        </w:tc>
      </w:tr>
      <w:tr w:rsidR="00CD29E0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61CE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61CE2">
              <w:rPr>
                <w:lang w:eastAsia="ar-SA"/>
              </w:rPr>
              <w:t xml:space="preserve"> </w:t>
            </w:r>
          </w:p>
        </w:tc>
      </w:tr>
      <w:tr w:rsidR="00CD29E0" w:rsidRPr="001C204D" w:rsidTr="00802268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D50B8C" w:rsidRDefault="00CD29E0" w:rsidP="00F329B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hyperlink r:id="rId14" w:history="1">
              <w:r w:rsidRPr="00D50B8C">
                <w:rPr>
                  <w:rStyle w:val="Hyperlink"/>
                  <w:shd w:val="clear" w:color="auto" w:fill="FFFFFF"/>
                </w:rPr>
                <w:t>Гальчук Л. М.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46461" w:rsidRDefault="00CD29E0" w:rsidP="00F329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bCs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46461" w:rsidRDefault="00CD29E0" w:rsidP="00F329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46461" w:rsidRDefault="00CD29E0" w:rsidP="00F329B9">
            <w:pPr>
              <w:suppressAutoHyphens/>
              <w:spacing w:line="100" w:lineRule="atLeast"/>
              <w:rPr>
                <w:lang w:eastAsia="ar-SA"/>
              </w:rPr>
            </w:pPr>
            <w:r w:rsidRPr="0014646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46461" w:rsidRDefault="00CD29E0" w:rsidP="00F329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46461" w:rsidRDefault="00CD29E0" w:rsidP="00F329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6461">
              <w:rPr>
                <w:lang w:eastAsia="ar-SA"/>
              </w:rPr>
              <w:t>http://znanium.com/bookread2.php?book=518953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1C204D" w:rsidRDefault="00CD29E0" w:rsidP="00045853">
            <w:pPr>
              <w:spacing w:line="100" w:lineRule="atLeast"/>
              <w:rPr>
                <w:lang w:val="en-US" w:eastAsia="ar-SA"/>
              </w:rPr>
            </w:pPr>
          </w:p>
        </w:tc>
      </w:tr>
      <w:tr w:rsidR="00CD29E0" w:rsidRPr="001C204D" w:rsidTr="00802268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842C8B" w:rsidRDefault="00CD29E0" w:rsidP="00F329B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42C8B">
              <w:rPr>
                <w:color w:val="333333"/>
                <w:shd w:val="clear" w:color="auto" w:fill="FFFFFF"/>
              </w:rPr>
              <w:t>Химик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842C8B" w:rsidRDefault="00CD29E0" w:rsidP="00F329B9">
            <w:pPr>
              <w:pStyle w:val="Heading3"/>
              <w:shd w:val="clear" w:color="auto" w:fill="FFFFFF"/>
              <w:spacing w:before="0" w:after="225"/>
              <w:rPr>
                <w:b w:val="0"/>
                <w:bCs w:val="0"/>
                <w:sz w:val="20"/>
                <w:szCs w:val="20"/>
              </w:rPr>
            </w:pPr>
            <w:hyperlink r:id="rId15" w:history="1">
              <w:r w:rsidRPr="00842C8B">
                <w:rPr>
                  <w:rStyle w:val="Hyperlink"/>
                  <w:b w:val="0"/>
                  <w:bCs w:val="0"/>
                  <w:sz w:val="20"/>
                  <w:szCs w:val="20"/>
                </w:rPr>
                <w:t>КУЛЬТУРА РЕЧИ. НАУЧНАЯ РЕЧЬ</w:t>
              </w:r>
            </w:hyperlink>
          </w:p>
          <w:p w:rsidR="00CD29E0" w:rsidRPr="00842C8B" w:rsidRDefault="00CD29E0" w:rsidP="00F329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842C8B" w:rsidRDefault="00CD29E0" w:rsidP="00F329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842C8B" w:rsidRDefault="00CD29E0" w:rsidP="00F329B9">
            <w:pPr>
              <w:suppressAutoHyphens/>
              <w:spacing w:line="100" w:lineRule="atLeast"/>
              <w:rPr>
                <w:lang w:eastAsia="ar-SA"/>
              </w:rPr>
            </w:pPr>
            <w:r w:rsidRPr="00842C8B">
              <w:rPr>
                <w:lang w:eastAsia="ar-SA"/>
              </w:rPr>
              <w:t>М.:Юрайт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842C8B" w:rsidRDefault="00CD29E0" w:rsidP="00F329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2C8B">
              <w:rPr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D35CF9" w:rsidRDefault="00CD29E0" w:rsidP="00F329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5CF9">
              <w:rPr>
                <w:lang w:eastAsia="ar-SA"/>
              </w:rPr>
              <w:t>https://urait.ru/viewer/kultura-rechi-nauchnaya-rech-490882#page/1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1C204D" w:rsidRDefault="00CD29E0" w:rsidP="00CE4BBD">
            <w:pPr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CD29E0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>9.3 Методические материалы</w:t>
            </w:r>
            <w:r w:rsidRPr="00261CE2">
              <w:rPr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CD29E0" w:rsidRPr="00261CE2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0027E5" w:rsidRDefault="00CD29E0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027E5"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0027E5" w:rsidRDefault="00CD29E0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Default="00CD29E0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CD29E0" w:rsidRPr="000027E5" w:rsidRDefault="00CD29E0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261BA6" w:rsidRDefault="00CD29E0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D29E0" w:rsidRDefault="00CD29E0" w:rsidP="00AE225B">
      <w:pPr>
        <w:sectPr w:rsidR="00CD29E0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D29E0" w:rsidRPr="00AE225B" w:rsidRDefault="00CD29E0" w:rsidP="00AE225B"/>
    <w:p w:rsidR="00CD29E0" w:rsidRPr="004179ED" w:rsidRDefault="00CD29E0" w:rsidP="0010336E">
      <w:pPr>
        <w:pStyle w:val="Heading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CD29E0" w:rsidRPr="004179ED" w:rsidRDefault="00CD29E0" w:rsidP="0010336E">
      <w:pPr>
        <w:pStyle w:val="Heading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CD29E0" w:rsidRPr="004179ED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CD29E0" w:rsidRPr="00AB6D40" w:rsidTr="00AD256A">
        <w:trPr>
          <w:trHeight w:val="356"/>
        </w:trPr>
        <w:tc>
          <w:tcPr>
            <w:tcW w:w="851" w:type="dxa"/>
          </w:tcPr>
          <w:p w:rsidR="00CD29E0" w:rsidRPr="00AB6D40" w:rsidRDefault="00CD29E0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CD29E0" w:rsidRPr="00AB6D40" w:rsidRDefault="00CD29E0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F35A98" w:rsidRDefault="00CD29E0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D40">
                <w:rPr>
                  <w:rStyle w:val="Hyperlink"/>
                  <w:b w:val="0"/>
                  <w:i/>
                </w:rPr>
                <w:t>http://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D29E0" w:rsidRPr="00F35A98" w:rsidRDefault="00CD29E0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D40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D40">
                <w:rPr>
                  <w:rStyle w:val="Hyperlink"/>
                  <w:b w:val="0"/>
                  <w:i/>
                </w:rPr>
                <w:t>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CD29E0" w:rsidRPr="004179ED" w:rsidRDefault="00CD29E0" w:rsidP="0010336E">
      <w:pPr>
        <w:pStyle w:val="Heading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CD29E0" w:rsidRPr="004179ED" w:rsidRDefault="00CD29E0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53"/>
        <w:gridCol w:w="3977"/>
      </w:tblGrid>
      <w:tr w:rsidR="00CD29E0" w:rsidRPr="00AB6D40" w:rsidTr="005338F1">
        <w:tc>
          <w:tcPr>
            <w:tcW w:w="817" w:type="dxa"/>
          </w:tcPr>
          <w:p w:rsidR="00CD29E0" w:rsidRPr="00AB6D40" w:rsidRDefault="00CD29E0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AB6D40" w:rsidRDefault="00CD29E0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D29E0" w:rsidRDefault="00CD29E0" w:rsidP="00EC1980">
      <w:pPr>
        <w:pStyle w:val="ListParagraph"/>
        <w:spacing w:before="120" w:after="120"/>
        <w:ind w:left="709"/>
        <w:jc w:val="both"/>
        <w:rPr>
          <w:sz w:val="24"/>
          <w:szCs w:val="24"/>
        </w:rPr>
      </w:pPr>
    </w:p>
    <w:p w:rsidR="00CD29E0" w:rsidRPr="00842D29" w:rsidRDefault="00CD29E0" w:rsidP="005A2EE6">
      <w:pPr>
        <w:sectPr w:rsidR="00CD29E0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Pr="004925D7" w:rsidRDefault="00CD29E0" w:rsidP="0010336E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ПРАКТИКИ</w:t>
      </w:r>
    </w:p>
    <w:p w:rsidR="00CD29E0" w:rsidRPr="00F26710" w:rsidRDefault="00CD29E0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CD29E0" w:rsidRPr="00F26710" w:rsidRDefault="00CD29E0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CD29E0" w:rsidRPr="00AB6D40" w:rsidTr="00AB6D40">
        <w:tc>
          <w:tcPr>
            <w:tcW w:w="81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9E0" w:rsidRPr="004E79ED" w:rsidRDefault="00CD29E0" w:rsidP="0075373F">
      <w:pPr>
        <w:ind w:left="5670"/>
        <w:jc w:val="center"/>
      </w:pPr>
    </w:p>
    <w:sectPr w:rsidR="00CD29E0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E0" w:rsidRDefault="00CD29E0" w:rsidP="005E3840">
      <w:r>
        <w:separator/>
      </w:r>
    </w:p>
  </w:endnote>
  <w:endnote w:type="continuationSeparator" w:id="0">
    <w:p w:rsidR="00CD29E0" w:rsidRDefault="00CD29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CD29E0" w:rsidRDefault="00CD2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>
    <w:pPr>
      <w:pStyle w:val="Footer"/>
      <w:jc w:val="right"/>
    </w:pPr>
  </w:p>
  <w:p w:rsidR="00CD29E0" w:rsidRDefault="00CD29E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>
    <w:pPr>
      <w:pStyle w:val="Footer"/>
      <w:jc w:val="right"/>
    </w:pPr>
  </w:p>
  <w:p w:rsidR="00CD29E0" w:rsidRPr="000D3988" w:rsidRDefault="00CD29E0" w:rsidP="00282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E0" w:rsidRDefault="00CD29E0" w:rsidP="005E3840">
      <w:r>
        <w:separator/>
      </w:r>
    </w:p>
  </w:footnote>
  <w:footnote w:type="continuationSeparator" w:id="0">
    <w:p w:rsidR="00CD29E0" w:rsidRDefault="00CD29E0" w:rsidP="005E3840">
      <w:r>
        <w:continuationSeparator/>
      </w:r>
    </w:p>
  </w:footnote>
  <w:footnote w:id="1">
    <w:p w:rsidR="00CD29E0" w:rsidRDefault="00CD29E0" w:rsidP="00D55723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CD29E0" w:rsidRDefault="00CD2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>
    <w:pPr>
      <w:pStyle w:val="Header"/>
      <w:jc w:val="center"/>
    </w:pPr>
  </w:p>
  <w:p w:rsidR="00CD29E0" w:rsidRDefault="00CD2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CD29E0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CD29E0" w:rsidRDefault="00CD2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461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1D42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413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6F93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F48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11"/>
    <w:rsid w:val="004F17E5"/>
    <w:rsid w:val="004F2BBE"/>
    <w:rsid w:val="004F7C95"/>
    <w:rsid w:val="00503703"/>
    <w:rsid w:val="00503E8D"/>
    <w:rsid w:val="00504C3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479F9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226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121B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240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9E0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CF9"/>
    <w:rsid w:val="00D36189"/>
    <w:rsid w:val="00D4094B"/>
    <w:rsid w:val="00D43D6D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C66F7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1276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32A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11"/>
    <w:rsid w:val="00E77B34"/>
    <w:rsid w:val="00E804AE"/>
    <w:rsid w:val="00E80909"/>
    <w:rsid w:val="00E8108F"/>
    <w:rsid w:val="00E81D4A"/>
    <w:rsid w:val="00E8209E"/>
    <w:rsid w:val="00E828D5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9B9"/>
    <w:rsid w:val="00F32AC1"/>
    <w:rsid w:val="00F33B6E"/>
    <w:rsid w:val="00F34500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a8">
    <w:name w:val="Абзац списка"/>
    <w:basedOn w:val="Normal"/>
    <w:link w:val="a9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62DA169-E953-4B8B-AA95-4F25DBCAE8EC?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46655505-3cc9-11e4-af98-90b11c31d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17</Pages>
  <Words>4023</Words>
  <Characters>22937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22</cp:revision>
  <cp:lastPrinted>2021-02-03T14:35:00Z</cp:lastPrinted>
  <dcterms:created xsi:type="dcterms:W3CDTF">2021-02-25T14:31:00Z</dcterms:created>
  <dcterms:modified xsi:type="dcterms:W3CDTF">2022-04-06T19:52:00Z</dcterms:modified>
</cp:coreProperties>
</file>